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7D577D53" w:rsidR="00353BA4" w:rsidRPr="00FE1F13" w:rsidRDefault="00D100C6"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Pr>
          <w:rFonts w:eastAsia="MS Mincho" w:cs="Arial"/>
          <w:kern w:val="0"/>
          <w:sz w:val="24"/>
          <w:lang w:val="en-US" w:eastAsia="en-US"/>
        </w:rPr>
        <w:t>3GPP TSG-RAN1#84</w:t>
      </w:r>
      <w:r w:rsidR="00353BA4">
        <w:rPr>
          <w:rFonts w:eastAsia="MS Mincho" w:cs="Arial"/>
          <w:kern w:val="0"/>
          <w:sz w:val="24"/>
          <w:lang w:val="en-US" w:eastAsia="en-US"/>
        </w:rPr>
        <w:tab/>
      </w:r>
      <w:r w:rsidR="00353BA4" w:rsidRPr="0043694D">
        <w:rPr>
          <w:rFonts w:eastAsia="MS Mincho" w:cs="Arial"/>
          <w:kern w:val="0"/>
          <w:sz w:val="24"/>
          <w:lang w:val="en-US" w:eastAsia="en-US"/>
        </w:rPr>
        <w:t>R1-</w:t>
      </w:r>
      <w:r w:rsidR="002E45B2" w:rsidRPr="0043694D">
        <w:rPr>
          <w:rFonts w:eastAsia="MS Mincho" w:cs="Arial"/>
          <w:kern w:val="0"/>
          <w:sz w:val="24"/>
          <w:lang w:val="en-US" w:eastAsia="en-US"/>
        </w:rPr>
        <w:t>16</w:t>
      </w:r>
      <w:r w:rsidR="0043694D" w:rsidRPr="004B49D2">
        <w:rPr>
          <w:rFonts w:eastAsia="MS Mincho" w:cs="Arial"/>
          <w:kern w:val="0"/>
          <w:sz w:val="24"/>
          <w:lang w:val="en-US" w:eastAsia="en-US"/>
        </w:rPr>
        <w:t>1033</w:t>
      </w:r>
    </w:p>
    <w:p w14:paraId="0ACB9F17" w14:textId="4C861851" w:rsidR="00353BA4" w:rsidRPr="00721F22" w:rsidRDefault="00353BA4"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sidR="00D100C6">
        <w:rPr>
          <w:rFonts w:eastAsia="MS Mincho" w:cs="Arial"/>
          <w:kern w:val="0"/>
          <w:sz w:val="24"/>
          <w:lang w:val="en-US" w:eastAsia="en-US"/>
        </w:rPr>
        <w:t>5</w:t>
      </w:r>
      <w:r w:rsidRPr="00721F22">
        <w:rPr>
          <w:rFonts w:eastAsia="MS Mincho" w:cs="Arial"/>
          <w:kern w:val="0"/>
          <w:sz w:val="24"/>
          <w:lang w:val="en-US" w:eastAsia="en-US"/>
        </w:rPr>
        <w:t>-</w:t>
      </w:r>
      <w:r w:rsidR="00D100C6">
        <w:rPr>
          <w:rFonts w:eastAsia="MS Mincho" w:cs="Arial"/>
          <w:kern w:val="0"/>
          <w:sz w:val="24"/>
          <w:lang w:val="en-US" w:eastAsia="en-US"/>
        </w:rPr>
        <w:t>19</w:t>
      </w:r>
      <w:r w:rsidRPr="00721F22">
        <w:rPr>
          <w:rFonts w:eastAsia="MS Mincho" w:cs="Arial"/>
          <w:kern w:val="0"/>
          <w:sz w:val="24"/>
          <w:lang w:val="en-US" w:eastAsia="en-US"/>
        </w:rPr>
        <w:t xml:space="preserve"> </w:t>
      </w:r>
      <w:r w:rsidR="00D100C6">
        <w:rPr>
          <w:rFonts w:eastAsia="MS Mincho" w:cs="Arial"/>
          <w:kern w:val="0"/>
          <w:sz w:val="24"/>
          <w:lang w:val="en-US" w:eastAsia="en-US"/>
        </w:rPr>
        <w:t>February</w:t>
      </w:r>
      <w:r w:rsidRPr="00721F22">
        <w:rPr>
          <w:rFonts w:eastAsia="MS Mincho" w:cs="Arial"/>
          <w:kern w:val="0"/>
          <w:sz w:val="24"/>
          <w:lang w:val="en-US" w:eastAsia="en-US"/>
        </w:rPr>
        <w:t xml:space="preserve"> 2016</w:t>
      </w:r>
    </w:p>
    <w:p w14:paraId="40A2F2DF" w14:textId="790F661C" w:rsidR="00353BA4" w:rsidRPr="00BD21BC" w:rsidRDefault="000B6501"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01BE7DD6"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8832D1" w:rsidRPr="008832D1">
        <w:rPr>
          <w:rFonts w:cs="Arial"/>
          <w:b/>
          <w:sz w:val="24"/>
          <w:lang w:val="en-US"/>
        </w:rPr>
        <w:t>NB-PUSCH</w:t>
      </w:r>
      <w:r w:rsidR="00EC5D91">
        <w:rPr>
          <w:rFonts w:cs="Arial"/>
          <w:b/>
          <w:sz w:val="24"/>
          <w:lang w:val="en-US"/>
        </w:rPr>
        <w:t xml:space="preserve"> </w:t>
      </w:r>
      <w:r w:rsidR="0076249D">
        <w:rPr>
          <w:rFonts w:cs="Arial"/>
          <w:b/>
          <w:sz w:val="24"/>
          <w:lang w:val="en-US"/>
        </w:rPr>
        <w:t>Resource Allocation</w:t>
      </w:r>
    </w:p>
    <w:p w14:paraId="6652D309" w14:textId="77777777"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p>
    <w:p w14:paraId="130780DC" w14:textId="2DF12548"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D100C6">
        <w:rPr>
          <w:rFonts w:cs="Arial"/>
          <w:b/>
          <w:sz w:val="24"/>
          <w:lang w:val="en-US"/>
        </w:rPr>
        <w:t>7.</w:t>
      </w:r>
      <w:r w:rsidRPr="00294B59">
        <w:rPr>
          <w:rFonts w:cs="Arial"/>
          <w:b/>
          <w:sz w:val="24"/>
          <w:lang w:val="en-US"/>
        </w:rPr>
        <w:t>2.1.2.1</w:t>
      </w:r>
      <w:r w:rsidRPr="00FE1F13">
        <w:rPr>
          <w:rFonts w:cs="Arial"/>
          <w:b/>
          <w:sz w:val="24"/>
          <w:lang w:val="en-US"/>
        </w:rPr>
        <w:tab/>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3D352E9F" w14:textId="1F8D60CD" w:rsidR="00BB7968" w:rsidRPr="009B1828" w:rsidRDefault="00BB7968" w:rsidP="00BB7968">
      <w:pPr>
        <w:rPr>
          <w:spacing w:val="2"/>
        </w:rPr>
      </w:pPr>
      <w:r w:rsidRPr="009B1828">
        <w:rPr>
          <w:spacing w:val="2"/>
        </w:rPr>
        <w:t>At RAN#69, a new work item named Narrowband IOT (NB-IOT) was approved</w:t>
      </w:r>
      <w:r>
        <w:rPr>
          <w:spacing w:val="2"/>
        </w:rPr>
        <w:t xml:space="preserve"> </w:t>
      </w:r>
      <w:r>
        <w:rPr>
          <w:spacing w:val="2"/>
        </w:rPr>
        <w:fldChar w:fldCharType="begin"/>
      </w:r>
      <w:r>
        <w:rPr>
          <w:spacing w:val="2"/>
        </w:rPr>
        <w:instrText xml:space="preserve"> REF _Ref442287542 \w \h </w:instrText>
      </w:r>
      <w:r>
        <w:rPr>
          <w:spacing w:val="2"/>
        </w:rPr>
      </w:r>
      <w:r>
        <w:rPr>
          <w:spacing w:val="2"/>
        </w:rPr>
        <w:fldChar w:fldCharType="separate"/>
      </w:r>
      <w:r w:rsidR="004375EF">
        <w:rPr>
          <w:spacing w:val="2"/>
        </w:rPr>
        <w:t>[1]</w:t>
      </w:r>
      <w:r>
        <w:rPr>
          <w:spacing w:val="2"/>
        </w:rPr>
        <w:fldChar w:fldCharType="end"/>
      </w:r>
      <w:r w:rsidRPr="009B1828">
        <w:rPr>
          <w:spacing w:val="2"/>
        </w:rPr>
        <w:t xml:space="preserve">. The objectives are to specify a radio access </w:t>
      </w:r>
      <w:r>
        <w:rPr>
          <w:spacing w:val="2"/>
        </w:rPr>
        <w:t xml:space="preserve">technology </w:t>
      </w:r>
      <w:r w:rsidRPr="009B1828">
        <w:rPr>
          <w:spacing w:val="2"/>
        </w:rPr>
        <w:t>for cellular internet of things that addresses improved indoor coverage, support for massive number of low throughput devices, low delay sensitivity, ultra-low device cost, low device power consumption and (optimized) network architecture. At RAN#70, a revised work item description for NB-IOT was approved</w:t>
      </w:r>
      <w:r>
        <w:rPr>
          <w:spacing w:val="2"/>
        </w:rPr>
        <w:t xml:space="preserve"> </w:t>
      </w:r>
      <w:r>
        <w:rPr>
          <w:spacing w:val="2"/>
        </w:rPr>
        <w:fldChar w:fldCharType="begin"/>
      </w:r>
      <w:r>
        <w:rPr>
          <w:spacing w:val="2"/>
        </w:rPr>
        <w:instrText xml:space="preserve"> REF _Ref442287554 \w \h </w:instrText>
      </w:r>
      <w:r>
        <w:rPr>
          <w:spacing w:val="2"/>
        </w:rPr>
      </w:r>
      <w:r>
        <w:rPr>
          <w:spacing w:val="2"/>
        </w:rPr>
        <w:fldChar w:fldCharType="separate"/>
      </w:r>
      <w:r w:rsidR="004375EF">
        <w:rPr>
          <w:spacing w:val="2"/>
        </w:rPr>
        <w:t>[2]</w:t>
      </w:r>
      <w:r>
        <w:rPr>
          <w:spacing w:val="2"/>
        </w:rPr>
        <w:fldChar w:fldCharType="end"/>
      </w:r>
      <w:r w:rsidRPr="009B1828">
        <w:rPr>
          <w:spacing w:val="2"/>
        </w:rPr>
        <w:t xml:space="preserve">. NB-IOT should support 3 different modes of operation: </w:t>
      </w:r>
    </w:p>
    <w:p w14:paraId="3C4A5A29" w14:textId="77777777" w:rsidR="00BB7968" w:rsidRPr="009B1828" w:rsidRDefault="00BB7968" w:rsidP="00BB7968">
      <w:pPr>
        <w:pStyle w:val="BodyText"/>
      </w:pPr>
      <w:r w:rsidRPr="009B1828">
        <w:t xml:space="preserve">1. “Stand-alone operation” utilizing for example the spectrum currently being used by GERAN systems as a replacement of one or more GSM carriers, as well as scattered spectrum for potential </w:t>
      </w:r>
      <w:proofErr w:type="spellStart"/>
      <w:r w:rsidRPr="009B1828">
        <w:t>IoT</w:t>
      </w:r>
      <w:proofErr w:type="spellEnd"/>
      <w:r w:rsidRPr="009B1828">
        <w:t xml:space="preserve"> deployment.</w:t>
      </w:r>
    </w:p>
    <w:p w14:paraId="0B71ACEA" w14:textId="77777777" w:rsidR="00BB7968" w:rsidRPr="009B1828" w:rsidRDefault="00BB7968" w:rsidP="00BB7968">
      <w:pPr>
        <w:pStyle w:val="BodyText"/>
      </w:pPr>
      <w:r w:rsidRPr="009B1828">
        <w:t xml:space="preserve">2. “Guard band operation” utilizing the unused resource blocks within a LTE carrier’s guard-band </w:t>
      </w:r>
    </w:p>
    <w:p w14:paraId="23035491" w14:textId="77777777" w:rsidR="00BB7968" w:rsidRDefault="00BB7968" w:rsidP="00BB7968">
      <w:pPr>
        <w:pStyle w:val="BodyText"/>
      </w:pPr>
      <w:r w:rsidRPr="009B1828">
        <w:t>3. “In-band operation” utilizing resource blocks within a normal LTE carrier</w:t>
      </w:r>
    </w:p>
    <w:p w14:paraId="33AFF218" w14:textId="77777777" w:rsidR="00BB7968" w:rsidRDefault="00BB7968" w:rsidP="00BB7968">
      <w:pPr>
        <w:pStyle w:val="BodyText"/>
      </w:pPr>
      <w:r w:rsidRPr="009B1828">
        <w:t xml:space="preserve">In </w:t>
      </w:r>
      <w:r>
        <w:t xml:space="preserve">the </w:t>
      </w:r>
      <w:r w:rsidRPr="009B1828">
        <w:t>RAN1</w:t>
      </w:r>
      <w:r>
        <w:t xml:space="preserve"> </w:t>
      </w:r>
      <w:r w:rsidRPr="009B1828">
        <w:t>NB-IOT Ad hoc</w:t>
      </w:r>
      <w:r>
        <w:t xml:space="preserve"> meeting in January 2016</w:t>
      </w:r>
      <w:r w:rsidRPr="009B1828">
        <w:t>, it was agreed that NB-</w:t>
      </w:r>
      <w:proofErr w:type="spellStart"/>
      <w:r w:rsidRPr="009B1828">
        <w:t>IoT</w:t>
      </w:r>
      <w:proofErr w:type="spellEnd"/>
      <w:r w:rsidRPr="009B1828">
        <w:t xml:space="preserve"> supports the transmission formats</w:t>
      </w:r>
      <w:r>
        <w:t xml:space="preserve"> below:</w:t>
      </w:r>
    </w:p>
    <w:p w14:paraId="5C2AC0A3" w14:textId="77777777" w:rsidR="00BB7968" w:rsidRPr="009B1828" w:rsidRDefault="00BB7968" w:rsidP="00BB7968">
      <w:pPr>
        <w:pStyle w:val="BodyText"/>
        <w:numPr>
          <w:ilvl w:val="0"/>
          <w:numId w:val="18"/>
        </w:numPr>
      </w:pPr>
      <w:r w:rsidRPr="009B1828">
        <w:t>UL multi-tone transmission based on 15 kHz subcarrier spacing</w:t>
      </w:r>
      <w:r>
        <w:t>:</w:t>
      </w:r>
    </w:p>
    <w:p w14:paraId="6F2D2373" w14:textId="0CF3229F" w:rsidR="00BB7968" w:rsidRPr="009B1828" w:rsidRDefault="00BB7968" w:rsidP="00BB7968">
      <w:pPr>
        <w:pStyle w:val="BodyText"/>
        <w:numPr>
          <w:ilvl w:val="1"/>
          <w:numId w:val="18"/>
        </w:numPr>
      </w:pPr>
      <w:r w:rsidRPr="009B1828">
        <w:t>Transmissions based on</w:t>
      </w:r>
      <w:r w:rsidR="001E76EF">
        <w:t xml:space="preserve"> </w:t>
      </w:r>
      <w:r w:rsidRPr="009B1828">
        <w:t xml:space="preserve">12 tones are supported with 1 </w:t>
      </w:r>
      <w:proofErr w:type="spellStart"/>
      <w:r w:rsidRPr="009B1828">
        <w:t>msec</w:t>
      </w:r>
      <w:proofErr w:type="spellEnd"/>
      <w:r w:rsidRPr="009B1828">
        <w:t xml:space="preserve"> resource unit size</w:t>
      </w:r>
    </w:p>
    <w:p w14:paraId="31B5E4BF" w14:textId="77777777" w:rsidR="00BB7968" w:rsidRPr="009B1828" w:rsidRDefault="00BB7968" w:rsidP="00BB7968">
      <w:pPr>
        <w:pStyle w:val="BodyText"/>
        <w:numPr>
          <w:ilvl w:val="1"/>
          <w:numId w:val="18"/>
        </w:numPr>
      </w:pPr>
      <w:r w:rsidRPr="009B1828">
        <w:t xml:space="preserve">Transmissions based on 6 tones are supported with 2 </w:t>
      </w:r>
      <w:proofErr w:type="spellStart"/>
      <w:r w:rsidRPr="009B1828">
        <w:t>msec</w:t>
      </w:r>
      <w:proofErr w:type="spellEnd"/>
      <w:r w:rsidRPr="009B1828">
        <w:t xml:space="preserve"> resource unit size</w:t>
      </w:r>
    </w:p>
    <w:p w14:paraId="2A153181" w14:textId="77777777" w:rsidR="00BB7968" w:rsidRPr="009B1828" w:rsidRDefault="00BB7968" w:rsidP="00BB7968">
      <w:pPr>
        <w:pStyle w:val="BodyText"/>
        <w:numPr>
          <w:ilvl w:val="1"/>
          <w:numId w:val="18"/>
        </w:numPr>
      </w:pPr>
      <w:r w:rsidRPr="009B1828">
        <w:t xml:space="preserve">Transmissions based on 3 tones are supported with 4 </w:t>
      </w:r>
      <w:proofErr w:type="spellStart"/>
      <w:r w:rsidRPr="009B1828">
        <w:t>msec</w:t>
      </w:r>
      <w:proofErr w:type="spellEnd"/>
      <w:r w:rsidRPr="009B1828">
        <w:t xml:space="preserve"> resource unit size</w:t>
      </w:r>
    </w:p>
    <w:p w14:paraId="0A18EB99" w14:textId="77777777" w:rsidR="00BB7968" w:rsidRPr="009B1828" w:rsidRDefault="00BB7968" w:rsidP="00BB7968">
      <w:pPr>
        <w:pStyle w:val="BodyText"/>
        <w:numPr>
          <w:ilvl w:val="0"/>
          <w:numId w:val="18"/>
        </w:numPr>
      </w:pPr>
      <w:r w:rsidRPr="009B1828">
        <w:t xml:space="preserve">UL single-tone transmission based on 15 kHz subcarrier spacing with 8 </w:t>
      </w:r>
      <w:proofErr w:type="spellStart"/>
      <w:r w:rsidRPr="009B1828">
        <w:t>msec</w:t>
      </w:r>
      <w:proofErr w:type="spellEnd"/>
      <w:r w:rsidRPr="009B1828">
        <w:t xml:space="preserve"> resource unit size</w:t>
      </w:r>
    </w:p>
    <w:p w14:paraId="7912F5DD" w14:textId="77777777" w:rsidR="00BB7968" w:rsidRPr="009B1828" w:rsidRDefault="00BB7968" w:rsidP="00BB7968">
      <w:pPr>
        <w:pStyle w:val="BodyText"/>
        <w:numPr>
          <w:ilvl w:val="0"/>
          <w:numId w:val="18"/>
        </w:numPr>
      </w:pPr>
      <w:r w:rsidRPr="009B1828">
        <w:t xml:space="preserve">UL single-tone transmission based on 3.75 kHz subcarrier spacing with 32 </w:t>
      </w:r>
      <w:proofErr w:type="spellStart"/>
      <w:r w:rsidRPr="009B1828">
        <w:t>msec</w:t>
      </w:r>
      <w:proofErr w:type="spellEnd"/>
      <w:r w:rsidRPr="009B1828">
        <w:t xml:space="preserve"> resource unit size</w:t>
      </w:r>
    </w:p>
    <w:p w14:paraId="0DC74D9A" w14:textId="27B4CE96" w:rsidR="00BB7968" w:rsidRPr="009B1828" w:rsidRDefault="00BB7968" w:rsidP="00BB7968">
      <w:pPr>
        <w:pStyle w:val="BodyText"/>
      </w:pPr>
      <w:r>
        <w:t>In this contribution we discuss NB-PUSCH resource allocations, and highlight a potential inter-cell interference issue. We also discuss measures to reduce the dynamic control signalling overhead (i.e. number of DCI bits) required to schedule NB-PUSCH.</w:t>
      </w:r>
    </w:p>
    <w:p w14:paraId="5F14A465" w14:textId="674C7954" w:rsidR="00C731A5" w:rsidRDefault="00C731A5" w:rsidP="00C731A5">
      <w:pPr>
        <w:pStyle w:val="Heading1"/>
        <w:rPr>
          <w:lang w:val="en-US"/>
        </w:rPr>
      </w:pPr>
      <w:r>
        <w:rPr>
          <w:lang w:val="en-US"/>
        </w:rPr>
        <w:t xml:space="preserve">NB-PUSCH </w:t>
      </w:r>
      <w:r w:rsidR="00A75BB9">
        <w:rPr>
          <w:lang w:val="en-US"/>
        </w:rPr>
        <w:t>resource allocation</w:t>
      </w:r>
    </w:p>
    <w:p w14:paraId="2C533A10" w14:textId="2F9466DF" w:rsidR="00A75BB9" w:rsidRDefault="00A75BB9" w:rsidP="00A75BB9">
      <w:r>
        <w:t xml:space="preserve">The multi-tone transmission schemes for NB-PUSCH are illustrated in </w:t>
      </w:r>
      <w:r>
        <w:fldChar w:fldCharType="begin"/>
      </w:r>
      <w:r>
        <w:instrText xml:space="preserve"> REF _Ref442287927 \h </w:instrText>
      </w:r>
      <w:r>
        <w:fldChar w:fldCharType="separate"/>
      </w:r>
      <w:r w:rsidR="004375EF">
        <w:t xml:space="preserve">Figure </w:t>
      </w:r>
      <w:r w:rsidR="004375EF">
        <w:rPr>
          <w:noProof/>
        </w:rPr>
        <w:t>1</w:t>
      </w:r>
      <w:r>
        <w:fldChar w:fldCharType="end"/>
      </w:r>
      <w:r>
        <w:t>. In general, the NB-PUSCH transmissions may occupy any available set of contiguous subcarriers in the uplink. Single-tone NB-PUSCH transmissions can occupy any of the 12 (</w:t>
      </w:r>
      <w:r w:rsidR="003A26DF">
        <w:t xml:space="preserve">resp. </w:t>
      </w:r>
      <w:r>
        <w:t>48) available subcarriers for 15 kHz (</w:t>
      </w:r>
      <w:r w:rsidR="003A26DF">
        <w:t xml:space="preserve">resp. </w:t>
      </w:r>
      <w:r>
        <w:t>3.75 kHz) numerology. Within a NB-IOT carrier, multiplexing of single-/multi-tone transmissions that use 15 kHz subcarrier spacing and single-tone transmissions that use 3.75 kHz subcarrier spacing is allowed.</w:t>
      </w:r>
    </w:p>
    <w:p w14:paraId="0FE74A29" w14:textId="77777777" w:rsidR="00A75BB9" w:rsidRDefault="00A75BB9" w:rsidP="00A75BB9">
      <w:r>
        <w:t xml:space="preserve"> </w:t>
      </w:r>
    </w:p>
    <w:p w14:paraId="6CE7504B" w14:textId="77777777" w:rsidR="00A75BB9" w:rsidRDefault="00A75BB9" w:rsidP="00A75BB9">
      <w:pPr>
        <w:keepNext/>
        <w:jc w:val="center"/>
      </w:pPr>
      <w:r w:rsidRPr="009B1828">
        <w:rPr>
          <w:noProof/>
          <w:lang w:val="en-US" w:eastAsia="en-US"/>
        </w:rPr>
        <w:lastRenderedPageBreak/>
        <w:drawing>
          <wp:inline distT="0" distB="0" distL="0" distR="0" wp14:anchorId="06DB3907" wp14:editId="1B422568">
            <wp:extent cx="4597400" cy="128957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1248" cy="1293456"/>
                    </a:xfrm>
                    <a:prstGeom prst="rect">
                      <a:avLst/>
                    </a:prstGeom>
                    <a:noFill/>
                  </pic:spPr>
                </pic:pic>
              </a:graphicData>
            </a:graphic>
          </wp:inline>
        </w:drawing>
      </w:r>
    </w:p>
    <w:p w14:paraId="3714D246" w14:textId="4B6A9C16" w:rsidR="00A75BB9" w:rsidRDefault="00A75BB9" w:rsidP="00A75BB9">
      <w:pPr>
        <w:pStyle w:val="Caption"/>
      </w:pPr>
      <w:bookmarkStart w:id="1" w:name="_Ref442287927"/>
      <w:r>
        <w:t xml:space="preserve">Figure </w:t>
      </w:r>
      <w:r>
        <w:fldChar w:fldCharType="begin"/>
      </w:r>
      <w:r>
        <w:instrText xml:space="preserve"> SEQ Figure \* ARABIC </w:instrText>
      </w:r>
      <w:r>
        <w:fldChar w:fldCharType="separate"/>
      </w:r>
      <w:r w:rsidR="004375EF">
        <w:rPr>
          <w:noProof/>
        </w:rPr>
        <w:t>1</w:t>
      </w:r>
      <w:r>
        <w:fldChar w:fldCharType="end"/>
      </w:r>
      <w:bookmarkEnd w:id="1"/>
      <w:r>
        <w:t xml:space="preserve"> </w:t>
      </w:r>
      <w:r w:rsidRPr="00B64621">
        <w:rPr>
          <w:noProof/>
        </w:rPr>
        <w:t>NB-PUSCH resource allocation for multi-tone transmission. In general, NB-PUSCH may occupy any set of contiguous subcarriers in the uplink</w:t>
      </w:r>
      <w:r w:rsidR="00DF26EF">
        <w:rPr>
          <w:noProof/>
        </w:rPr>
        <w:t>.</w:t>
      </w:r>
    </w:p>
    <w:p w14:paraId="77D37BA3" w14:textId="77777777" w:rsidR="000B7FA8" w:rsidRDefault="000B7FA8" w:rsidP="00A75BB9">
      <w:pPr>
        <w:pStyle w:val="BodyText"/>
      </w:pPr>
      <w:r>
        <w:t xml:space="preserve">The NB-PUSCH frame structure has not yet been finalized, but is likely to be similar to the LTE PUSCH frame structure. This implies that at least for multi-tone NB-PUSCH transmission, two SC-FDMA symbols will be utilized for transmitting demodulation reference symbols (DMRS) within each NB-PUSCH </w:t>
      </w:r>
      <w:proofErr w:type="spellStart"/>
      <w:r>
        <w:t>subframe</w:t>
      </w:r>
      <w:proofErr w:type="spellEnd"/>
      <w:r>
        <w:t xml:space="preserve">.  </w:t>
      </w:r>
      <w:r w:rsidR="00A75BB9">
        <w:t xml:space="preserve">In LTE, PUSCH allocations have a resource granularity of 1 PRB. Therefore, the DMRS base sequences in LTE have been optimized for low cross-correlation when the offset (in frequency domain) between the sequences is an integer number of PRBs, i.e. an integer multiple of 12 subcarriers. </w:t>
      </w:r>
    </w:p>
    <w:p w14:paraId="1387CB99" w14:textId="073B0EB6" w:rsidR="00A75BB9" w:rsidRDefault="00A75BB9" w:rsidP="00A75BB9">
      <w:pPr>
        <w:pStyle w:val="BodyText"/>
      </w:pPr>
      <w:r>
        <w:t xml:space="preserve">However in case of NB-IOT, it is currently possible to schedule NB-PUSCH resource with a 1-subcarrier granularity, as illustrated in </w:t>
      </w:r>
      <w:r>
        <w:fldChar w:fldCharType="begin"/>
      </w:r>
      <w:r>
        <w:instrText xml:space="preserve"> REF _Ref442209339 \h </w:instrText>
      </w:r>
      <w:r>
        <w:fldChar w:fldCharType="separate"/>
      </w:r>
      <w:r w:rsidR="004375EF">
        <w:t xml:space="preserve">Figure </w:t>
      </w:r>
      <w:r w:rsidR="004375EF">
        <w:rPr>
          <w:noProof/>
        </w:rPr>
        <w:t>2</w:t>
      </w:r>
      <w:r>
        <w:fldChar w:fldCharType="end"/>
      </w:r>
      <w:r>
        <w:t>. This implies that the base sequences used for DMRS must have good cross-correlation properties with an offset of 0, 1, 2</w:t>
      </w:r>
      <w:proofErr w:type="gramStart"/>
      <w:r>
        <w:t>, …,</w:t>
      </w:r>
      <w:proofErr w:type="gramEnd"/>
      <w:r>
        <w:t xml:space="preserve"> 6 subcarriers. Low correlation for all possible offsets is difficult to achieve in practice, especially for a sufficiently large number of length-6 and length-3 sequences. On the other hand, using base sequences with poor cross-correlation properties will lead to inter-cell interference.</w:t>
      </w:r>
    </w:p>
    <w:p w14:paraId="5B9A599D" w14:textId="77777777" w:rsidR="00A75BB9" w:rsidRDefault="00A75BB9" w:rsidP="00A75BB9">
      <w:pPr>
        <w:pStyle w:val="BodyText"/>
        <w:keepNext/>
        <w:jc w:val="center"/>
      </w:pPr>
      <w:r>
        <w:rPr>
          <w:noProof/>
          <w:lang w:val="en-US" w:eastAsia="en-US"/>
        </w:rPr>
        <w:drawing>
          <wp:inline distT="0" distB="0" distL="0" distR="0" wp14:anchorId="26C10224" wp14:editId="4DFFEEAD">
            <wp:extent cx="3911600" cy="1676481"/>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455" cy="1677705"/>
                    </a:xfrm>
                    <a:prstGeom prst="rect">
                      <a:avLst/>
                    </a:prstGeom>
                    <a:noFill/>
                  </pic:spPr>
                </pic:pic>
              </a:graphicData>
            </a:graphic>
          </wp:inline>
        </w:drawing>
      </w:r>
    </w:p>
    <w:p w14:paraId="4B6CBC3E" w14:textId="77777777" w:rsidR="00A75BB9" w:rsidRDefault="00A75BB9" w:rsidP="00A75BB9">
      <w:pPr>
        <w:pStyle w:val="Caption"/>
      </w:pPr>
      <w:bookmarkStart w:id="2" w:name="_Ref442209339"/>
      <w:r>
        <w:t xml:space="preserve">Figure </w:t>
      </w:r>
      <w:r>
        <w:fldChar w:fldCharType="begin"/>
      </w:r>
      <w:r>
        <w:instrText xml:space="preserve"> SEQ Figure \* ARABIC </w:instrText>
      </w:r>
      <w:r>
        <w:fldChar w:fldCharType="separate"/>
      </w:r>
      <w:r w:rsidR="004375EF">
        <w:rPr>
          <w:noProof/>
        </w:rPr>
        <w:t>2</w:t>
      </w:r>
      <w:r>
        <w:rPr>
          <w:noProof/>
        </w:rPr>
        <w:fldChar w:fldCharType="end"/>
      </w:r>
      <w:bookmarkEnd w:id="2"/>
      <w:r>
        <w:t xml:space="preserve"> Examples of NB-PUSCH allocation within a </w:t>
      </w:r>
      <w:proofErr w:type="spellStart"/>
      <w:r>
        <w:t>subframe</w:t>
      </w:r>
      <w:proofErr w:type="spellEnd"/>
      <w:r>
        <w:t>, for multi-tone transmission formats. The offset between NB-PUSCH allocations, and subsequently between the UL DMRS, can be on 1-subcarrier granularity.</w:t>
      </w:r>
    </w:p>
    <w:p w14:paraId="257E790E" w14:textId="77777777" w:rsidR="00A75BB9" w:rsidRDefault="00A75BB9" w:rsidP="00A75BB9">
      <w:pPr>
        <w:pStyle w:val="BodyText"/>
        <w:rPr>
          <w:rStyle w:val="IvDbodytextChar"/>
        </w:rPr>
      </w:pPr>
      <w:r>
        <w:rPr>
          <w:rStyle w:val="IvDbodytextChar"/>
        </w:rPr>
        <w:t xml:space="preserve">Additionally, the different NB-PUSCH transmission formats lead to a large number of possible resource allocations. In the most general case, the DCI for scheduling NB-PUSCH will need to </w:t>
      </w:r>
    </w:p>
    <w:p w14:paraId="7FF6E274" w14:textId="206FCFFE" w:rsidR="00A75BB9" w:rsidRDefault="00A75BB9" w:rsidP="00A75BB9">
      <w:pPr>
        <w:pStyle w:val="BodyText"/>
        <w:keepLines/>
        <w:numPr>
          <w:ilvl w:val="0"/>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Distinguish between 15 kHz and 3.75 kHz numerologies (1 bit)</w:t>
      </w:r>
      <w:r w:rsidRPr="00E353F6">
        <w:t xml:space="preserve"> </w:t>
      </w:r>
      <w:r w:rsidRPr="00E353F6">
        <w:rPr>
          <w:rStyle w:val="IvDbodytextChar"/>
        </w:rPr>
        <w:t>(if this is not signal</w:t>
      </w:r>
      <w:r w:rsidR="004B49D2">
        <w:rPr>
          <w:rStyle w:val="IvDbodytextChar"/>
        </w:rPr>
        <w:t>l</w:t>
      </w:r>
      <w:r w:rsidRPr="00E353F6">
        <w:rPr>
          <w:rStyle w:val="IvDbodytextChar"/>
        </w:rPr>
        <w:t xml:space="preserve">ed in other places such as </w:t>
      </w:r>
      <w:proofErr w:type="spellStart"/>
      <w:r w:rsidRPr="00E353F6">
        <w:rPr>
          <w:rStyle w:val="IvDbodytextChar"/>
        </w:rPr>
        <w:t>SIBx</w:t>
      </w:r>
      <w:proofErr w:type="spellEnd"/>
      <w:r w:rsidRPr="00E353F6">
        <w:rPr>
          <w:rStyle w:val="IvDbodytextChar"/>
        </w:rPr>
        <w:t>.)</w:t>
      </w:r>
    </w:p>
    <w:p w14:paraId="3D5A6A36" w14:textId="77777777" w:rsidR="00A75BB9" w:rsidRDefault="00A75BB9" w:rsidP="00A75BB9">
      <w:pPr>
        <w:pStyle w:val="BodyText"/>
        <w:keepLines/>
        <w:numPr>
          <w:ilvl w:val="1"/>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In case of 15 kHz, the number of possible NB-PUSCH allocations for 1, 3, 6, and 12-tone formats are 12, 10, 7, and 1 respectively (30 cases requiring 5 bits)</w:t>
      </w:r>
    </w:p>
    <w:p w14:paraId="53A1BF5A" w14:textId="4BC5E92A" w:rsidR="00C13925" w:rsidRDefault="00A75BB9" w:rsidP="00C13925">
      <w:pPr>
        <w:pStyle w:val="BodyText"/>
        <w:keepLines/>
        <w:numPr>
          <w:ilvl w:val="1"/>
          <w:numId w:val="19"/>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r>
        <w:rPr>
          <w:rStyle w:val="IvDbodytextChar"/>
        </w:rPr>
        <w:t>In case of 3.75 kHz, specify one of 48 subcarriers (requiring 6 bits)</w:t>
      </w:r>
    </w:p>
    <w:p w14:paraId="028EBC77" w14:textId="77777777" w:rsidR="00C13925" w:rsidRDefault="00C13925" w:rsidP="00C1392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IvDbodytextChar"/>
        </w:rPr>
      </w:pPr>
    </w:p>
    <w:p w14:paraId="26C2A02E" w14:textId="7C1A7784" w:rsidR="00A75BB9" w:rsidRDefault="00A75BB9" w:rsidP="00A75BB9">
      <w:r>
        <w:t xml:space="preserve">It is likely that the number of DCI bits would be reduced to some extent by specifying, e.g., that coverage classes with reduced sets of valid transmission formats may be configured by appropriate RRC </w:t>
      </w:r>
      <w:r w:rsidR="00C13925">
        <w:t>signalling (as discussed in accompanying contribution</w:t>
      </w:r>
      <w:r w:rsidR="000B7FA8">
        <w:t xml:space="preserve"> </w:t>
      </w:r>
      <w:r w:rsidR="000B7FA8">
        <w:fldChar w:fldCharType="begin"/>
      </w:r>
      <w:r w:rsidR="000B7FA8">
        <w:instrText xml:space="preserve"> REF _Ref442288273 \w \h </w:instrText>
      </w:r>
      <w:r w:rsidR="000B7FA8">
        <w:fldChar w:fldCharType="separate"/>
      </w:r>
      <w:r w:rsidR="004375EF">
        <w:t>[3]</w:t>
      </w:r>
      <w:r w:rsidR="000B7FA8">
        <w:fldChar w:fldCharType="end"/>
      </w:r>
      <w:r w:rsidR="00C13925">
        <w:t>)</w:t>
      </w:r>
      <w:r>
        <w:t xml:space="preserve">. However it is desired to further </w:t>
      </w:r>
      <w:r w:rsidR="004B49D2">
        <w:t xml:space="preserve">reduce </w:t>
      </w:r>
      <w:r>
        <w:t xml:space="preserve">the number of DCI bits that indicate the NB-PUSCH allocation to </w:t>
      </w:r>
      <w:r w:rsidR="004B49D2">
        <w:t>lower the control signalling</w:t>
      </w:r>
      <w:r w:rsidR="004B49D2">
        <w:t xml:space="preserve"> </w:t>
      </w:r>
      <w:r>
        <w:t>overhead, especially in case of coverage enhanced operation requiring a large number of repetitions.</w:t>
      </w:r>
    </w:p>
    <w:p w14:paraId="3DD8F7D3" w14:textId="61C4758E" w:rsidR="000C0BDC" w:rsidRPr="000C0BDC" w:rsidRDefault="004341E0" w:rsidP="000C0BDC">
      <w:pPr>
        <w:rPr>
          <w:lang w:val="en-US"/>
        </w:rPr>
      </w:pPr>
      <w:r>
        <w:rPr>
          <w:lang w:val="en-US"/>
        </w:rPr>
        <w:t>To resolve the issues discussed above, t</w:t>
      </w:r>
      <w:r w:rsidR="000C0BDC" w:rsidRPr="000C0BDC">
        <w:rPr>
          <w:lang w:val="en-US"/>
        </w:rPr>
        <w:t xml:space="preserve">he uplink NB-IOT resources may be divided in several logical sets of contiguous subcarrier allocations as illustrated </w:t>
      </w:r>
      <w:r w:rsidR="000C0BDC" w:rsidRPr="00887C65">
        <w:rPr>
          <w:lang w:val="en-US"/>
        </w:rPr>
        <w:t xml:space="preserve">in </w:t>
      </w:r>
      <w:r w:rsidR="000C0BDC" w:rsidRPr="00887C65">
        <w:rPr>
          <w:lang w:val="en-US"/>
        </w:rPr>
        <w:fldChar w:fldCharType="begin"/>
      </w:r>
      <w:r w:rsidR="000C0BDC" w:rsidRPr="00887C65">
        <w:rPr>
          <w:lang w:val="en-US"/>
        </w:rPr>
        <w:instrText xml:space="preserve"> REF _Ref442211757 \h </w:instrText>
      </w:r>
      <w:r w:rsidR="00887C65" w:rsidRPr="00887C65">
        <w:rPr>
          <w:lang w:val="en-US"/>
        </w:rPr>
        <w:instrText xml:space="preserve"> \* MERGEFORMAT </w:instrText>
      </w:r>
      <w:r w:rsidR="000C0BDC" w:rsidRPr="00887C65">
        <w:rPr>
          <w:lang w:val="en-US"/>
        </w:rPr>
      </w:r>
      <w:r w:rsidR="000C0BDC" w:rsidRPr="00887C65">
        <w:rPr>
          <w:lang w:val="en-US"/>
        </w:rPr>
        <w:fldChar w:fldCharType="separate"/>
      </w:r>
      <w:r w:rsidR="004375EF" w:rsidRPr="004375EF">
        <w:rPr>
          <w:lang w:val="en-US"/>
        </w:rPr>
        <w:t xml:space="preserve">Figure </w:t>
      </w:r>
      <w:r w:rsidR="004375EF" w:rsidRPr="004375EF">
        <w:rPr>
          <w:noProof/>
          <w:lang w:val="en-US"/>
        </w:rPr>
        <w:t>3</w:t>
      </w:r>
      <w:bookmarkStart w:id="3" w:name="_GoBack"/>
      <w:bookmarkEnd w:id="3"/>
      <w:r w:rsidR="000C0BDC" w:rsidRPr="00887C65">
        <w:fldChar w:fldCharType="end"/>
      </w:r>
      <w:r w:rsidR="000C0BDC" w:rsidRPr="00887C65">
        <w:rPr>
          <w:lang w:val="en-US"/>
        </w:rPr>
        <w:t>. In</w:t>
      </w:r>
      <w:r w:rsidR="000C0BDC" w:rsidRPr="000C0BDC">
        <w:rPr>
          <w:lang w:val="en-US"/>
        </w:rPr>
        <w:t xml:space="preserve"> general when configured, the 6-tone NB-</w:t>
      </w:r>
      <w:r w:rsidR="000C0BDC" w:rsidRPr="000C0BDC">
        <w:rPr>
          <w:lang w:val="en-US"/>
        </w:rPr>
        <w:lastRenderedPageBreak/>
        <w:t>PUSCH is always scheduled with the smallest subcarrier indices in {0, 6} within the LTE subcarrier, and the 3-tone NB-PUSCH is always scheduled with the smallest subcarrier indices in {0, 3, 6, 9} within the NB-IOT carrier. It is possible to schedule a single-tone NB-PUSCH on any of the NB-IOT subcarriers configured for such single-tone transmissions.</w:t>
      </w:r>
    </w:p>
    <w:p w14:paraId="17EC5B8E" w14:textId="49DCFFB4" w:rsidR="000C0BDC" w:rsidRPr="000C0BDC" w:rsidRDefault="000C0BDC" w:rsidP="000C0BDC">
      <w:pPr>
        <w:jc w:val="center"/>
        <w:rPr>
          <w:lang w:val="en-US"/>
        </w:rPr>
      </w:pPr>
      <w:r w:rsidRPr="000C0BDC">
        <w:rPr>
          <w:noProof/>
          <w:lang w:val="en-US" w:eastAsia="en-US"/>
        </w:rPr>
        <w:drawing>
          <wp:inline distT="0" distB="0" distL="0" distR="0" wp14:anchorId="68CC4802" wp14:editId="060C05A1">
            <wp:extent cx="4400550" cy="1282871"/>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09463" cy="1285469"/>
                    </a:xfrm>
                    <a:prstGeom prst="rect">
                      <a:avLst/>
                    </a:prstGeom>
                    <a:noFill/>
                  </pic:spPr>
                </pic:pic>
              </a:graphicData>
            </a:graphic>
          </wp:inline>
        </w:drawing>
      </w:r>
    </w:p>
    <w:p w14:paraId="61811CCB" w14:textId="6E0BCE7B" w:rsidR="000C0BDC" w:rsidRPr="00C0482C" w:rsidRDefault="000C0BDC" w:rsidP="000C0BDC">
      <w:pPr>
        <w:jc w:val="center"/>
        <w:rPr>
          <w:b/>
          <w:lang w:val="en-US"/>
        </w:rPr>
      </w:pPr>
      <w:bookmarkStart w:id="4" w:name="_Ref442211757"/>
      <w:r w:rsidRPr="00C0482C">
        <w:rPr>
          <w:b/>
          <w:lang w:val="en-US"/>
        </w:rPr>
        <w:t xml:space="preserve">Figure </w:t>
      </w:r>
      <w:r w:rsidRPr="00C0482C">
        <w:rPr>
          <w:b/>
          <w:lang w:val="en-US"/>
        </w:rPr>
        <w:fldChar w:fldCharType="begin"/>
      </w:r>
      <w:r w:rsidRPr="00C0482C">
        <w:rPr>
          <w:b/>
          <w:lang w:val="en-US"/>
        </w:rPr>
        <w:instrText xml:space="preserve"> SEQ Figure \* ARABIC </w:instrText>
      </w:r>
      <w:r w:rsidRPr="00C0482C">
        <w:rPr>
          <w:b/>
          <w:lang w:val="en-US"/>
        </w:rPr>
        <w:fldChar w:fldCharType="separate"/>
      </w:r>
      <w:r w:rsidR="004375EF">
        <w:rPr>
          <w:b/>
          <w:noProof/>
          <w:lang w:val="en-US"/>
        </w:rPr>
        <w:t>3</w:t>
      </w:r>
      <w:r w:rsidRPr="00C0482C">
        <w:rPr>
          <w:b/>
        </w:rPr>
        <w:fldChar w:fldCharType="end"/>
      </w:r>
      <w:bookmarkEnd w:id="4"/>
      <w:r w:rsidRPr="00C0482C">
        <w:rPr>
          <w:b/>
          <w:lang w:val="en-US"/>
        </w:rPr>
        <w:t xml:space="preserve"> </w:t>
      </w:r>
      <w:r w:rsidR="004375EF">
        <w:rPr>
          <w:b/>
          <w:lang w:val="en-US"/>
        </w:rPr>
        <w:t xml:space="preserve">A limited number of </w:t>
      </w:r>
      <w:r w:rsidRPr="00C0482C">
        <w:rPr>
          <w:b/>
          <w:lang w:val="en-US"/>
        </w:rPr>
        <w:t xml:space="preserve">NB-PUSCH resource configurations </w:t>
      </w:r>
      <w:r w:rsidR="004375EF">
        <w:rPr>
          <w:b/>
          <w:lang w:val="en-US"/>
        </w:rPr>
        <w:t>may be defined</w:t>
      </w:r>
    </w:p>
    <w:p w14:paraId="34A3C5CC" w14:textId="77777777" w:rsidR="003C393C" w:rsidRPr="000C0BDC" w:rsidRDefault="003C393C" w:rsidP="003C393C">
      <w:pPr>
        <w:rPr>
          <w:lang w:val="en-US"/>
        </w:rPr>
      </w:pPr>
    </w:p>
    <w:p w14:paraId="7C4B1542" w14:textId="25B85B00" w:rsidR="003C393C" w:rsidRDefault="003C393C" w:rsidP="003C393C">
      <w:pPr>
        <w:pStyle w:val="ListParagraph"/>
        <w:numPr>
          <w:ilvl w:val="0"/>
          <w:numId w:val="20"/>
        </w:numPr>
        <w:ind w:left="1418" w:hanging="1418"/>
        <w:rPr>
          <w:lang w:val="en-US"/>
        </w:rPr>
      </w:pPr>
      <w:bookmarkStart w:id="5" w:name="_Ref442289453"/>
      <w:r>
        <w:rPr>
          <w:lang w:val="en-US"/>
        </w:rPr>
        <w:t>A limited number of valid resource allocation configurations are defined at least for multi-tone NB-PUSCH transmission format</w:t>
      </w:r>
      <w:r w:rsidR="00C0482C">
        <w:rPr>
          <w:lang w:val="en-US"/>
        </w:rPr>
        <w:t>s</w:t>
      </w:r>
      <w:r>
        <w:rPr>
          <w:lang w:val="en-US"/>
        </w:rPr>
        <w:t>.</w:t>
      </w:r>
      <w:bookmarkEnd w:id="5"/>
    </w:p>
    <w:p w14:paraId="313A7927" w14:textId="79571950" w:rsidR="000C0BDC" w:rsidRPr="000C0BDC" w:rsidRDefault="000C0BDC" w:rsidP="000C0BDC">
      <w:pPr>
        <w:rPr>
          <w:lang w:val="en-US"/>
        </w:rPr>
      </w:pPr>
      <w:r w:rsidRPr="000C0BDC">
        <w:rPr>
          <w:lang w:val="en-US"/>
        </w:rPr>
        <w:t xml:space="preserve">The NB-PUSCH resource configurations specified above enforce that the UL DMRS can have only certain possible offsets in the frequency domain, as illustrated in </w:t>
      </w:r>
      <w:r w:rsidRPr="000C0BDC">
        <w:rPr>
          <w:lang w:val="en-US"/>
        </w:rPr>
        <w:fldChar w:fldCharType="begin"/>
      </w:r>
      <w:r w:rsidRPr="000C0BDC">
        <w:rPr>
          <w:lang w:val="en-US"/>
        </w:rPr>
        <w:instrText xml:space="preserve"> REF _Ref442213304 \h  \* MERGEFORMAT </w:instrText>
      </w:r>
      <w:r w:rsidRPr="000C0BDC">
        <w:rPr>
          <w:lang w:val="en-US"/>
        </w:rPr>
      </w:r>
      <w:r w:rsidRPr="000C0BDC">
        <w:rPr>
          <w:lang w:val="en-US"/>
        </w:rPr>
        <w:fldChar w:fldCharType="separate"/>
      </w:r>
      <w:r w:rsidR="004375EF" w:rsidRPr="004375EF">
        <w:rPr>
          <w:lang w:val="en-US"/>
        </w:rPr>
        <w:t>Figure 4</w:t>
      </w:r>
      <w:r w:rsidRPr="000C0BDC">
        <w:fldChar w:fldCharType="end"/>
      </w:r>
      <w:r w:rsidRPr="000C0BDC">
        <w:rPr>
          <w:lang w:val="en-US"/>
        </w:rPr>
        <w:t xml:space="preserve">. This ensures that several NB-PUSCH allocations do not overlap at all in frequency domain, reducing the inter-cell interference. Even when there is an overlap, the offsets between NB-PUSCH allocations is limited to 0, 3, or 6 subcarriers. This makes it possible to specify sufficiently many base sequences with reasonably good cross-correlation properties (for these offset values), and thus reduces inter-cell interference. </w:t>
      </w:r>
    </w:p>
    <w:p w14:paraId="2B46AC1B" w14:textId="77777777" w:rsidR="000C0BDC" w:rsidRPr="000C0BDC" w:rsidRDefault="000C0BDC" w:rsidP="000C0BDC">
      <w:pPr>
        <w:jc w:val="center"/>
        <w:rPr>
          <w:lang w:val="en-US"/>
        </w:rPr>
      </w:pPr>
      <w:r w:rsidRPr="000C0BDC">
        <w:rPr>
          <w:noProof/>
          <w:lang w:val="en-US" w:eastAsia="en-US"/>
        </w:rPr>
        <w:drawing>
          <wp:inline distT="0" distB="0" distL="0" distR="0" wp14:anchorId="362DAA6C" wp14:editId="3B3E2765">
            <wp:extent cx="3384550" cy="1459973"/>
            <wp:effectExtent l="0" t="0" r="6350" b="6985"/>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8938" cy="1461866"/>
                    </a:xfrm>
                    <a:prstGeom prst="rect">
                      <a:avLst/>
                    </a:prstGeom>
                    <a:noFill/>
                  </pic:spPr>
                </pic:pic>
              </a:graphicData>
            </a:graphic>
          </wp:inline>
        </w:drawing>
      </w:r>
    </w:p>
    <w:p w14:paraId="5145409A" w14:textId="77777777" w:rsidR="000C0BDC" w:rsidRPr="00C0482C" w:rsidRDefault="000C0BDC" w:rsidP="000C0BDC">
      <w:pPr>
        <w:jc w:val="center"/>
        <w:rPr>
          <w:b/>
          <w:lang w:val="en-US"/>
        </w:rPr>
      </w:pPr>
      <w:bookmarkStart w:id="6" w:name="_Ref442213304"/>
      <w:r w:rsidRPr="00C0482C">
        <w:rPr>
          <w:b/>
          <w:lang w:val="en-US"/>
        </w:rPr>
        <w:t xml:space="preserve">Figure </w:t>
      </w:r>
      <w:r w:rsidRPr="00C0482C">
        <w:rPr>
          <w:b/>
          <w:lang w:val="en-US"/>
        </w:rPr>
        <w:fldChar w:fldCharType="begin"/>
      </w:r>
      <w:r w:rsidRPr="00C0482C">
        <w:rPr>
          <w:b/>
          <w:lang w:val="en-US"/>
        </w:rPr>
        <w:instrText xml:space="preserve"> SEQ Figure \* ARABIC </w:instrText>
      </w:r>
      <w:r w:rsidRPr="00C0482C">
        <w:rPr>
          <w:b/>
          <w:lang w:val="en-US"/>
        </w:rPr>
        <w:fldChar w:fldCharType="separate"/>
      </w:r>
      <w:r w:rsidR="004375EF">
        <w:rPr>
          <w:b/>
          <w:noProof/>
          <w:lang w:val="en-US"/>
        </w:rPr>
        <w:t>4</w:t>
      </w:r>
      <w:r w:rsidRPr="00C0482C">
        <w:rPr>
          <w:b/>
        </w:rPr>
        <w:fldChar w:fldCharType="end"/>
      </w:r>
      <w:bookmarkEnd w:id="6"/>
      <w:r w:rsidRPr="00C0482C">
        <w:rPr>
          <w:b/>
          <w:lang w:val="en-US"/>
        </w:rPr>
        <w:t xml:space="preserve"> Examples of NB-PUSCH allocation within a </w:t>
      </w:r>
      <w:proofErr w:type="spellStart"/>
      <w:r w:rsidRPr="00C0482C">
        <w:rPr>
          <w:b/>
          <w:lang w:val="en-US"/>
        </w:rPr>
        <w:t>subframe</w:t>
      </w:r>
      <w:proofErr w:type="spellEnd"/>
      <w:r w:rsidRPr="00C0482C">
        <w:rPr>
          <w:b/>
          <w:lang w:val="en-US"/>
        </w:rPr>
        <w:t xml:space="preserve"> with proposed configuration scheme. The offset between NB-PUSCH allocations, and subsequently between the UL DMRS, is 0/3/6 subcarriers</w:t>
      </w:r>
    </w:p>
    <w:p w14:paraId="6AC79134" w14:textId="77777777" w:rsidR="00C0482C" w:rsidRDefault="00C0482C" w:rsidP="00C0482C">
      <w:pPr>
        <w:pStyle w:val="BodyText"/>
      </w:pPr>
      <w:r>
        <w:t xml:space="preserve">Specifying a set of valid NB-PUSCH resource configurations can lead to smaller control </w:t>
      </w:r>
      <w:proofErr w:type="spellStart"/>
      <w:r>
        <w:t>signaling</w:t>
      </w:r>
      <w:proofErr w:type="spellEnd"/>
      <w:r>
        <w:t xml:space="preserve"> overhead for scheduling NB-PUSCH. This is especially important in case of coverage-enhanced UEs that might require several repetitions of the downlink control signal for successful decoding.</w:t>
      </w:r>
    </w:p>
    <w:p w14:paraId="051A6930" w14:textId="2C2358BF" w:rsidR="00C0482C" w:rsidRDefault="004375EF" w:rsidP="00C0482C">
      <w:pPr>
        <w:pStyle w:val="BodyText"/>
      </w:pPr>
      <w:r>
        <w:t xml:space="preserve">If </w:t>
      </w:r>
      <w:r w:rsidR="003B711A">
        <w:t>the NB-PUSCH resource allocation, with the constraints discussed above (i.e. no explicit signalling of the NB-PUSCH resource configuration)</w:t>
      </w:r>
      <w:r>
        <w:t>,</w:t>
      </w:r>
      <w:r w:rsidR="00C0482C">
        <w:t xml:space="preserve"> the total number of valid NB-PUSCH allocations for {12, 6, 3, 1} tone transmission formats and 15 kHz numerology is the sum of </w:t>
      </w:r>
    </w:p>
    <w:p w14:paraId="0DD9636D" w14:textId="77777777" w:rsidR="00E637E8"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One allocation of all 12 tones: {0, 1, 2, 3, 4, 5, 6, 7, 8, 9, 10, 11, 12}</w:t>
      </w:r>
    </w:p>
    <w:p w14:paraId="3B723F7A" w14:textId="67C80398" w:rsidR="00C0482C"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Two non-overlapping allocations of 6 tones: {0, 1, 2, 3, 4, 5} and {6, 7, 8, 9, 10, 11}</w:t>
      </w:r>
    </w:p>
    <w:p w14:paraId="28F9FBB8" w14:textId="77777777" w:rsidR="00C0482C" w:rsidRDefault="00C0482C" w:rsidP="00C0482C">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Four non-overlapping allocations of 3 tones: {0, 1, 2}, {3, 4, 5}, {6, 7, 8} and {9, 10, 11}</w:t>
      </w:r>
    </w:p>
    <w:p w14:paraId="6B34BC21" w14:textId="7FA4FAA7" w:rsidR="00E637E8" w:rsidRDefault="00C0482C" w:rsidP="00E637E8">
      <w:pPr>
        <w:pStyle w:val="BodyText"/>
        <w:keepLines/>
        <w:numPr>
          <w:ilvl w:val="0"/>
          <w:numId w:val="21"/>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Twelve non-overlapping single-tone allocations: {0}, {1}, {2}, {3}, {4}, {5}, {6}, {7}, {8}, {9}, {10}, {11} and {12}</w:t>
      </w:r>
      <w:r w:rsidR="00E637E8">
        <w:t>,</w:t>
      </w:r>
    </w:p>
    <w:p w14:paraId="77E0C0D7" w14:textId="5BF8ED43" w:rsidR="00C0482C" w:rsidRDefault="00C0482C" w:rsidP="00C0482C">
      <w:pPr>
        <w:pStyle w:val="BodyText"/>
      </w:pPr>
      <w:proofErr w:type="gramStart"/>
      <w:r>
        <w:t>i.e</w:t>
      </w:r>
      <w:proofErr w:type="gramEnd"/>
      <w:r>
        <w:t>. 1+2+4+12=19 different possible allocations</w:t>
      </w:r>
      <w:r w:rsidR="00CF160E">
        <w:t>, which is significantly smaller than the number of possible allocations in case of scheduling with 1-subcarrier granularity.</w:t>
      </w:r>
    </w:p>
    <w:p w14:paraId="0452E3DB" w14:textId="664ED53B" w:rsidR="00C0482C" w:rsidRDefault="004375EF" w:rsidP="00C0482C">
      <w:pPr>
        <w:pStyle w:val="BodyText"/>
      </w:pPr>
      <w:r>
        <w:t xml:space="preserve">On the other hand, if </w:t>
      </w:r>
      <w:r w:rsidR="00E637E8">
        <w:t xml:space="preserve">the NB-PUSCH resource configuration </w:t>
      </w:r>
      <w:r>
        <w:t xml:space="preserve">is signalled </w:t>
      </w:r>
      <w:r w:rsidR="00C0482C">
        <w:t>semi-statically, subcarriers 0-2 and 3-5 may be configured for 3-tone transmissions and subcarriers 6-11 may be configured for 6-tone transmission on a semi-static basis (</w:t>
      </w:r>
      <w:proofErr w:type="spellStart"/>
      <w:r w:rsidR="00C0482C" w:rsidRPr="00887C65">
        <w:t>Config</w:t>
      </w:r>
      <w:proofErr w:type="spellEnd"/>
      <w:r w:rsidR="00C0482C" w:rsidRPr="00887C65">
        <w:t xml:space="preserve"> 2 in</w:t>
      </w:r>
      <w:r w:rsidR="00F3243B" w:rsidRPr="00887C65">
        <w:t xml:space="preserve"> </w:t>
      </w:r>
      <w:r w:rsidR="00F3243B" w:rsidRPr="00887C65">
        <w:fldChar w:fldCharType="begin"/>
      </w:r>
      <w:r w:rsidR="00F3243B" w:rsidRPr="00887C65">
        <w:instrText xml:space="preserve"> REF _Ref442211757 \h </w:instrText>
      </w:r>
      <w:r w:rsidR="00887C65" w:rsidRPr="00887C65">
        <w:instrText xml:space="preserve"> \* MERGEFORMAT </w:instrText>
      </w:r>
      <w:r w:rsidR="00F3243B" w:rsidRPr="00887C65">
        <w:fldChar w:fldCharType="separate"/>
      </w:r>
      <w:r w:rsidRPr="004375EF">
        <w:rPr>
          <w:lang w:val="en-US"/>
        </w:rPr>
        <w:t xml:space="preserve">Figure </w:t>
      </w:r>
      <w:r w:rsidRPr="004375EF">
        <w:rPr>
          <w:noProof/>
          <w:lang w:val="en-US"/>
        </w:rPr>
        <w:t>3</w:t>
      </w:r>
      <w:r w:rsidR="00F3243B" w:rsidRPr="00887C65">
        <w:fldChar w:fldCharType="end"/>
      </w:r>
      <w:r w:rsidR="00F3243B" w:rsidRPr="00887C65">
        <w:t>)</w:t>
      </w:r>
      <w:r>
        <w:t>.</w:t>
      </w:r>
      <w:r w:rsidR="00C0482C" w:rsidRPr="00887C65">
        <w:t xml:space="preserve"> </w:t>
      </w:r>
      <w:r>
        <w:t>Then</w:t>
      </w:r>
      <w:r w:rsidR="00C0482C">
        <w:t xml:space="preserve">, there are only three possible NB-PUSCH </w:t>
      </w:r>
      <w:r w:rsidR="00C0482C">
        <w:lastRenderedPageBreak/>
        <w:t>frequency resource allocations (two 3-tone allocations and one 6-tone allocation), which can be indicated using only two bits in the DCI</w:t>
      </w:r>
      <w:r w:rsidR="00887C65">
        <w:t>.</w:t>
      </w:r>
    </w:p>
    <w:p w14:paraId="1872B2EC" w14:textId="2670A93B" w:rsidR="00E637E8" w:rsidRPr="00E637E8" w:rsidRDefault="00E637E8" w:rsidP="001B2693">
      <w:pPr>
        <w:pStyle w:val="ListParagraph"/>
        <w:numPr>
          <w:ilvl w:val="0"/>
          <w:numId w:val="20"/>
        </w:numPr>
        <w:ind w:left="1418" w:hanging="1418"/>
        <w:rPr>
          <w:lang w:val="en-US"/>
        </w:rPr>
      </w:pPr>
      <w:bookmarkStart w:id="7" w:name="_Ref442289462"/>
      <w:bookmarkStart w:id="8" w:name="_Ref426290311"/>
      <w:r>
        <w:rPr>
          <w:lang w:val="en-US"/>
        </w:rPr>
        <w:t>The valid NB-PUSCH resource configurations are signaled dynamically (i.e. in the DCI) or semi-statically (e.g. RRC signaling).</w:t>
      </w:r>
      <w:bookmarkEnd w:id="7"/>
    </w:p>
    <w:bookmarkEnd w:id="8"/>
    <w:p w14:paraId="577D2741" w14:textId="46D839C0" w:rsidR="0005434F" w:rsidRDefault="00683F57" w:rsidP="0005434F">
      <w:pPr>
        <w:pStyle w:val="Heading1"/>
        <w:rPr>
          <w:lang w:val="en-US"/>
        </w:rPr>
      </w:pPr>
      <w:r w:rsidRPr="00FE1F13">
        <w:rPr>
          <w:lang w:val="en-US"/>
        </w:rPr>
        <w:t>Conclusions</w:t>
      </w:r>
    </w:p>
    <w:p w14:paraId="110F6498" w14:textId="01A6C16E" w:rsidR="0059185E" w:rsidRDefault="00114462" w:rsidP="001617AB">
      <w:pPr>
        <w:pStyle w:val="BodyText"/>
        <w:rPr>
          <w:lang w:val="en-US"/>
        </w:rPr>
      </w:pPr>
      <w:r>
        <w:rPr>
          <w:lang w:val="en-US"/>
        </w:rPr>
        <w:t xml:space="preserve">In this contribution, </w:t>
      </w:r>
      <w:r w:rsidR="001617AB">
        <w:rPr>
          <w:lang w:val="en-US"/>
        </w:rPr>
        <w:t xml:space="preserve">we discuss </w:t>
      </w:r>
      <w:r w:rsidR="00887C65">
        <w:rPr>
          <w:lang w:val="en-US"/>
        </w:rPr>
        <w:t>potential issues with NB-PUSCH resource allocation and related solutions. Based on the discussion above, we have the following proposals:</w:t>
      </w:r>
    </w:p>
    <w:p w14:paraId="3841A1A0" w14:textId="77777777" w:rsidR="00887C65" w:rsidRDefault="00887C65" w:rsidP="00887C65">
      <w:pPr>
        <w:ind w:left="1440" w:hanging="1440"/>
        <w:rPr>
          <w:lang w:val="en-US"/>
        </w:rPr>
      </w:pPr>
      <w:r>
        <w:rPr>
          <w:lang w:val="en-US"/>
        </w:rPr>
        <w:fldChar w:fldCharType="begin"/>
      </w:r>
      <w:r>
        <w:rPr>
          <w:lang w:val="en-US"/>
        </w:rPr>
        <w:instrText xml:space="preserve"> REF _Ref442289453 \n \h </w:instrText>
      </w:r>
      <w:r>
        <w:rPr>
          <w:lang w:val="en-US"/>
        </w:rPr>
      </w:r>
      <w:r>
        <w:rPr>
          <w:lang w:val="en-US"/>
        </w:rPr>
        <w:fldChar w:fldCharType="separate"/>
      </w:r>
      <w:r w:rsidR="004375EF">
        <w:rPr>
          <w:lang w:val="en-US"/>
        </w:rPr>
        <w:t>Proposal 1</w:t>
      </w:r>
      <w:r>
        <w:rPr>
          <w:lang w:val="en-US"/>
        </w:rPr>
        <w:fldChar w:fldCharType="end"/>
      </w:r>
      <w:r>
        <w:rPr>
          <w:lang w:val="en-US"/>
        </w:rPr>
        <w:tab/>
      </w:r>
      <w:r>
        <w:rPr>
          <w:lang w:val="en-US"/>
        </w:rPr>
        <w:fldChar w:fldCharType="begin"/>
      </w:r>
      <w:r>
        <w:rPr>
          <w:lang w:val="en-US"/>
        </w:rPr>
        <w:instrText xml:space="preserve"> REF _Ref442289453 \h </w:instrText>
      </w:r>
      <w:r>
        <w:rPr>
          <w:lang w:val="en-US"/>
        </w:rPr>
      </w:r>
      <w:r>
        <w:rPr>
          <w:lang w:val="en-US"/>
        </w:rPr>
        <w:fldChar w:fldCharType="separate"/>
      </w:r>
      <w:r w:rsidR="004375EF">
        <w:rPr>
          <w:lang w:val="en-US"/>
        </w:rPr>
        <w:t>A limited number of valid resource allocation configurations are defined at least for multi-tone NB-PUSCH transmission formats.</w:t>
      </w:r>
      <w:r>
        <w:rPr>
          <w:lang w:val="en-US"/>
        </w:rPr>
        <w:fldChar w:fldCharType="end"/>
      </w:r>
    </w:p>
    <w:p w14:paraId="34763EC6" w14:textId="29F04BF1" w:rsidR="003423B5" w:rsidRPr="00887C65" w:rsidRDefault="00887C65" w:rsidP="00887C65">
      <w:pPr>
        <w:ind w:left="1440" w:hanging="1440"/>
        <w:rPr>
          <w:lang w:val="en-US"/>
        </w:rPr>
      </w:pPr>
      <w:r>
        <w:rPr>
          <w:lang w:val="en-US"/>
        </w:rPr>
        <w:fldChar w:fldCharType="begin"/>
      </w:r>
      <w:r>
        <w:rPr>
          <w:lang w:val="en-US"/>
        </w:rPr>
        <w:instrText xml:space="preserve"> REF _Ref442289462 \w \h </w:instrText>
      </w:r>
      <w:r>
        <w:rPr>
          <w:lang w:val="en-US"/>
        </w:rPr>
      </w:r>
      <w:r>
        <w:rPr>
          <w:lang w:val="en-US"/>
        </w:rPr>
        <w:fldChar w:fldCharType="separate"/>
      </w:r>
      <w:r w:rsidR="004375EF">
        <w:rPr>
          <w:lang w:val="en-US"/>
        </w:rPr>
        <w:t>Proposal 2</w:t>
      </w:r>
      <w:r>
        <w:rPr>
          <w:lang w:val="en-US"/>
        </w:rPr>
        <w:fldChar w:fldCharType="end"/>
      </w:r>
      <w:r>
        <w:rPr>
          <w:lang w:val="en-US"/>
        </w:rPr>
        <w:tab/>
      </w:r>
      <w:r>
        <w:rPr>
          <w:lang w:val="en-US"/>
        </w:rPr>
        <w:fldChar w:fldCharType="begin"/>
      </w:r>
      <w:r>
        <w:rPr>
          <w:lang w:val="en-US"/>
        </w:rPr>
        <w:instrText xml:space="preserve"> REF _Ref442289462 \h </w:instrText>
      </w:r>
      <w:r>
        <w:rPr>
          <w:lang w:val="en-US"/>
        </w:rPr>
      </w:r>
      <w:r>
        <w:rPr>
          <w:lang w:val="en-US"/>
        </w:rPr>
        <w:fldChar w:fldCharType="separate"/>
      </w:r>
      <w:r w:rsidR="004375EF">
        <w:rPr>
          <w:lang w:val="en-US"/>
        </w:rPr>
        <w:t>The valid NB-PUSCH resource configurations are signaled dynamically (i.e. in the DCI) or semi-statically (e.g. RRC signaling).</w:t>
      </w:r>
      <w:r>
        <w:rPr>
          <w:lang w:val="en-US"/>
        </w:rPr>
        <w:fldChar w:fldCharType="end"/>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9" w:name="_Ref397674406"/>
      <w:bookmarkStart w:id="10" w:name="_Ref403069021"/>
      <w:bookmarkStart w:id="11" w:name="_Ref442287542"/>
      <w:bookmarkStart w:id="12"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9"/>
      <w:bookmarkEnd w:id="10"/>
      <w:r>
        <w:rPr>
          <w:lang w:val="en-US"/>
        </w:rPr>
        <w:t>, Phoenix, AZ, USA</w:t>
      </w:r>
      <w:r w:rsidR="009144F7">
        <w:rPr>
          <w:lang w:val="en-US"/>
        </w:rPr>
        <w:t>.</w:t>
      </w:r>
      <w:bookmarkEnd w:id="11"/>
    </w:p>
    <w:p w14:paraId="487D2240" w14:textId="77777777" w:rsidR="00EC51BD" w:rsidRPr="00F15F66" w:rsidRDefault="00EC51BD" w:rsidP="00EC51BD">
      <w:pPr>
        <w:pStyle w:val="Reference"/>
      </w:pPr>
      <w:bookmarkStart w:id="13" w:name="_Ref442287554"/>
      <w:r w:rsidRPr="00F15F66">
        <w:rPr>
          <w:lang w:val="en-US"/>
        </w:rPr>
        <w:t>R</w:t>
      </w:r>
      <w:r w:rsidRPr="00F15F66">
        <w:t xml:space="preserve">P-152284, “New Work Item: Narrowband IOT (NB-IOT),” source Huawei and </w:t>
      </w:r>
      <w:proofErr w:type="spellStart"/>
      <w:r w:rsidRPr="00F15F66">
        <w:t>HiSilicon</w:t>
      </w:r>
      <w:proofErr w:type="spellEnd"/>
      <w:r w:rsidRPr="00F15F66">
        <w:t xml:space="preserve">, RAN #70, Dec. 2015, </w:t>
      </w:r>
      <w:proofErr w:type="spellStart"/>
      <w:r w:rsidRPr="00F15F66">
        <w:t>Sitges</w:t>
      </w:r>
      <w:proofErr w:type="spellEnd"/>
      <w:r w:rsidRPr="00F15F66">
        <w:t>, Spain.</w:t>
      </w:r>
      <w:bookmarkEnd w:id="13"/>
    </w:p>
    <w:p w14:paraId="0DBBFF75" w14:textId="242FB893" w:rsidR="00242ADF" w:rsidRPr="00C13925" w:rsidRDefault="00C13925" w:rsidP="00C13925">
      <w:pPr>
        <w:pStyle w:val="Reference"/>
        <w:rPr>
          <w:rFonts w:eastAsia="MS Mincho"/>
          <w:lang w:val="en-US" w:eastAsia="en-US"/>
        </w:rPr>
      </w:pPr>
      <w:bookmarkStart w:id="14" w:name="_Ref442288273"/>
      <w:bookmarkEnd w:id="12"/>
      <w:r w:rsidRPr="004602F6">
        <w:rPr>
          <w:rFonts w:eastAsia="MS Mincho"/>
          <w:lang w:val="en-US" w:eastAsia="en-US"/>
        </w:rPr>
        <w:t>R1-16</w:t>
      </w:r>
      <w:r>
        <w:rPr>
          <w:rFonts w:eastAsia="MS Mincho"/>
          <w:lang w:val="en-US" w:eastAsia="en-US"/>
        </w:rPr>
        <w:t>0271, “</w:t>
      </w:r>
      <w:r w:rsidRPr="00C13925">
        <w:rPr>
          <w:rFonts w:eastAsia="MS Mincho"/>
          <w:lang w:val="en-US" w:eastAsia="en-US"/>
        </w:rPr>
        <w:t>NB-PUSCH Design</w:t>
      </w:r>
      <w:r>
        <w:rPr>
          <w:rFonts w:eastAsia="MS Mincho"/>
          <w:lang w:val="en-US" w:eastAsia="en-US"/>
        </w:rPr>
        <w:t xml:space="preserve">”, </w:t>
      </w:r>
      <w:r w:rsidRPr="00C13925">
        <w:rPr>
          <w:rFonts w:eastAsia="MS Mincho"/>
          <w:lang w:val="en-US" w:eastAsia="en-US"/>
        </w:rPr>
        <w:t>Ericsson</w:t>
      </w:r>
      <w:r>
        <w:rPr>
          <w:rFonts w:eastAsia="MS Mincho"/>
          <w:lang w:val="en-US" w:eastAsia="en-US"/>
        </w:rPr>
        <w:t>, Feb. 2016, Malta.</w:t>
      </w:r>
      <w:bookmarkEnd w:id="14"/>
    </w:p>
    <w:sectPr w:rsidR="00242ADF" w:rsidRPr="00C13925"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8F5D6" w14:textId="77777777" w:rsidR="00797BAC" w:rsidRDefault="00797BAC">
      <w:pPr>
        <w:spacing w:after="0"/>
      </w:pPr>
      <w:r>
        <w:separator/>
      </w:r>
    </w:p>
  </w:endnote>
  <w:endnote w:type="continuationSeparator" w:id="0">
    <w:p w14:paraId="38D6AADB" w14:textId="77777777" w:rsidR="00797BAC" w:rsidRDefault="0079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3306AF" w:rsidRDefault="003306AF">
    <w:pPr>
      <w:pStyle w:val="Footer"/>
      <w:ind w:right="-1521"/>
    </w:pPr>
    <w:r>
      <w:rPr>
        <w:rStyle w:val="PageNumber"/>
      </w:rPr>
      <w:fldChar w:fldCharType="begin"/>
    </w:r>
    <w:r>
      <w:rPr>
        <w:rStyle w:val="PageNumber"/>
      </w:rPr>
      <w:instrText xml:space="preserve"> PAGE </w:instrText>
    </w:r>
    <w:r>
      <w:rPr>
        <w:rStyle w:val="PageNumber"/>
      </w:rPr>
      <w:fldChar w:fldCharType="separate"/>
    </w:r>
    <w:r w:rsidR="004375EF">
      <w:rPr>
        <w:rStyle w:val="PageNumber"/>
      </w:rPr>
      <w:t>4</w:t>
    </w:r>
    <w:r>
      <w:rPr>
        <w:rStyle w:val="PageNumber"/>
      </w:rPr>
      <w:fldChar w:fldCharType="end"/>
    </w:r>
    <w:bookmarkStart w:id="1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75EF">
      <w:rPr>
        <w:rStyle w:val="PageNumber"/>
      </w:rPr>
      <w:t>4</w:t>
    </w:r>
    <w:r>
      <w:rPr>
        <w:rStyle w:val="PageNumber"/>
      </w:rPr>
      <w:fldChar w:fldCharType="end"/>
    </w:r>
    <w:r>
      <w:rPr>
        <w:rStyle w:val="PageNumber"/>
      </w:rPr>
      <w:t>)</w:t>
    </w:r>
    <w:bookmarkEnd w:id="1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3306AF" w:rsidRDefault="003306AF">
    <w:pPr>
      <w:pStyle w:val="Footer"/>
    </w:pPr>
    <w:r>
      <w:rPr>
        <w:rStyle w:val="PageNumber"/>
      </w:rPr>
      <w:fldChar w:fldCharType="begin"/>
    </w:r>
    <w:r>
      <w:rPr>
        <w:rStyle w:val="PageNumber"/>
      </w:rPr>
      <w:instrText xml:space="preserve"> PAGE </w:instrText>
    </w:r>
    <w:r>
      <w:rPr>
        <w:rStyle w:val="PageNumber"/>
      </w:rPr>
      <w:fldChar w:fldCharType="separate"/>
    </w:r>
    <w:r w:rsidR="004375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75EF">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94F6F" w14:textId="77777777" w:rsidR="00797BAC" w:rsidRDefault="00797BAC">
      <w:pPr>
        <w:spacing w:after="0"/>
      </w:pPr>
      <w:r>
        <w:separator/>
      </w:r>
    </w:p>
  </w:footnote>
  <w:footnote w:type="continuationSeparator" w:id="0">
    <w:p w14:paraId="46F25C88" w14:textId="77777777" w:rsidR="00797BAC" w:rsidRDefault="00797B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3306AF" w:rsidRPr="006A0FC7" w:rsidRDefault="003306A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3306AF" w:rsidRPr="00BF30DA" w:rsidRDefault="003306A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6128AB"/>
    <w:multiLevelType w:val="hybridMultilevel"/>
    <w:tmpl w:val="B91E5346"/>
    <w:lvl w:ilvl="0" w:tplc="50DEBA5A">
      <w:start w:val="1"/>
      <w:numFmt w:val="decim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A445A7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D0526C"/>
    <w:multiLevelType w:val="hybridMultilevel"/>
    <w:tmpl w:val="98825B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18B38B0"/>
    <w:multiLevelType w:val="hybridMultilevel"/>
    <w:tmpl w:val="D69496A8"/>
    <w:lvl w:ilvl="0" w:tplc="0DB8B0E4">
      <w:numFmt w:val="bullet"/>
      <w:lvlText w:val=""/>
      <w:lvlJc w:val="left"/>
      <w:pPr>
        <w:ind w:left="144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794478E"/>
    <w:multiLevelType w:val="hybridMultilevel"/>
    <w:tmpl w:val="DB246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C8A06F5"/>
    <w:multiLevelType w:val="hybridMultilevel"/>
    <w:tmpl w:val="38B857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12"/>
  </w:num>
  <w:num w:numId="5">
    <w:abstractNumId w:val="18"/>
  </w:num>
  <w:num w:numId="6">
    <w:abstractNumId w:val="7"/>
  </w:num>
  <w:num w:numId="7">
    <w:abstractNumId w:val="9"/>
  </w:num>
  <w:num w:numId="8">
    <w:abstractNumId w:val="8"/>
  </w:num>
  <w:num w:numId="9">
    <w:abstractNumId w:val="15"/>
  </w:num>
  <w:num w:numId="10">
    <w:abstractNumId w:val="14"/>
  </w:num>
  <w:num w:numId="11">
    <w:abstractNumId w:val="10"/>
  </w:num>
  <w:num w:numId="12">
    <w:abstractNumId w:val="11"/>
  </w:num>
  <w:num w:numId="13">
    <w:abstractNumId w:val="19"/>
  </w:num>
  <w:num w:numId="14">
    <w:abstractNumId w:val="16"/>
  </w:num>
  <w:num w:numId="15">
    <w:abstractNumId w:val="17"/>
  </w:num>
  <w:num w:numId="16">
    <w:abstractNumId w:val="4"/>
  </w:num>
  <w:num w:numId="17">
    <w:abstractNumId w:val="3"/>
  </w:num>
  <w:num w:numId="18">
    <w:abstractNumId w:val="5"/>
  </w:num>
  <w:num w:numId="19">
    <w:abstractNumId w:val="13"/>
  </w:num>
  <w:num w:numId="20">
    <w:abstractNumId w:val="2"/>
  </w:num>
  <w:num w:numId="2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572A"/>
    <w:rsid w:val="00027311"/>
    <w:rsid w:val="00027D60"/>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70B7"/>
    <w:rsid w:val="00067182"/>
    <w:rsid w:val="000678C9"/>
    <w:rsid w:val="000700A9"/>
    <w:rsid w:val="000701CD"/>
    <w:rsid w:val="0007045A"/>
    <w:rsid w:val="00071EB5"/>
    <w:rsid w:val="000721FC"/>
    <w:rsid w:val="00072382"/>
    <w:rsid w:val="00081297"/>
    <w:rsid w:val="000813FD"/>
    <w:rsid w:val="00081688"/>
    <w:rsid w:val="00081E87"/>
    <w:rsid w:val="000857F2"/>
    <w:rsid w:val="00087350"/>
    <w:rsid w:val="0008796B"/>
    <w:rsid w:val="00091A7F"/>
    <w:rsid w:val="00092AAE"/>
    <w:rsid w:val="00093C23"/>
    <w:rsid w:val="00093FC2"/>
    <w:rsid w:val="00096C16"/>
    <w:rsid w:val="000A207F"/>
    <w:rsid w:val="000A29C6"/>
    <w:rsid w:val="000A4FF9"/>
    <w:rsid w:val="000A6510"/>
    <w:rsid w:val="000B2C9C"/>
    <w:rsid w:val="000B31DD"/>
    <w:rsid w:val="000B3334"/>
    <w:rsid w:val="000B3427"/>
    <w:rsid w:val="000B3D9B"/>
    <w:rsid w:val="000B462B"/>
    <w:rsid w:val="000B484A"/>
    <w:rsid w:val="000B4AEE"/>
    <w:rsid w:val="000B5B8E"/>
    <w:rsid w:val="000B6501"/>
    <w:rsid w:val="000B7B3F"/>
    <w:rsid w:val="000B7FA8"/>
    <w:rsid w:val="000C0BDC"/>
    <w:rsid w:val="000C0D36"/>
    <w:rsid w:val="000C18F3"/>
    <w:rsid w:val="000C2715"/>
    <w:rsid w:val="000C3C4D"/>
    <w:rsid w:val="000C7570"/>
    <w:rsid w:val="000C7F06"/>
    <w:rsid w:val="000D036A"/>
    <w:rsid w:val="000D451A"/>
    <w:rsid w:val="000D4E16"/>
    <w:rsid w:val="000D7664"/>
    <w:rsid w:val="000E114A"/>
    <w:rsid w:val="000E1D1E"/>
    <w:rsid w:val="000E214E"/>
    <w:rsid w:val="000E2D68"/>
    <w:rsid w:val="000E2DED"/>
    <w:rsid w:val="000E3586"/>
    <w:rsid w:val="000E4E27"/>
    <w:rsid w:val="000E63C3"/>
    <w:rsid w:val="000E71AB"/>
    <w:rsid w:val="000E7F68"/>
    <w:rsid w:val="000F2D08"/>
    <w:rsid w:val="000F2F61"/>
    <w:rsid w:val="000F443D"/>
    <w:rsid w:val="000F5A66"/>
    <w:rsid w:val="000F623B"/>
    <w:rsid w:val="000F6CDC"/>
    <w:rsid w:val="0010000D"/>
    <w:rsid w:val="00100F09"/>
    <w:rsid w:val="001015B9"/>
    <w:rsid w:val="00101845"/>
    <w:rsid w:val="001033FB"/>
    <w:rsid w:val="00104263"/>
    <w:rsid w:val="0010487F"/>
    <w:rsid w:val="00104E0D"/>
    <w:rsid w:val="00106816"/>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392A"/>
    <w:rsid w:val="00184295"/>
    <w:rsid w:val="00184BE0"/>
    <w:rsid w:val="001852C0"/>
    <w:rsid w:val="00186AA1"/>
    <w:rsid w:val="00186EAA"/>
    <w:rsid w:val="0018745C"/>
    <w:rsid w:val="00190C7B"/>
    <w:rsid w:val="00191B11"/>
    <w:rsid w:val="0019310F"/>
    <w:rsid w:val="00194A90"/>
    <w:rsid w:val="00196A79"/>
    <w:rsid w:val="001A0E97"/>
    <w:rsid w:val="001A3ADC"/>
    <w:rsid w:val="001A652E"/>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48B8"/>
    <w:rsid w:val="001D589A"/>
    <w:rsid w:val="001D71C3"/>
    <w:rsid w:val="001E1C9C"/>
    <w:rsid w:val="001E213E"/>
    <w:rsid w:val="001E272E"/>
    <w:rsid w:val="001E582A"/>
    <w:rsid w:val="001E76EF"/>
    <w:rsid w:val="001E7AF7"/>
    <w:rsid w:val="001F0CE9"/>
    <w:rsid w:val="001F3714"/>
    <w:rsid w:val="001F39B2"/>
    <w:rsid w:val="001F4B7F"/>
    <w:rsid w:val="001F60F1"/>
    <w:rsid w:val="001F6E69"/>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33A6"/>
    <w:rsid w:val="00253C39"/>
    <w:rsid w:val="00255DB5"/>
    <w:rsid w:val="00263976"/>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51FC"/>
    <w:rsid w:val="002A2386"/>
    <w:rsid w:val="002A5DC6"/>
    <w:rsid w:val="002B0422"/>
    <w:rsid w:val="002B07C7"/>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2A08"/>
    <w:rsid w:val="002E390A"/>
    <w:rsid w:val="002E45B2"/>
    <w:rsid w:val="002E490F"/>
    <w:rsid w:val="002E499D"/>
    <w:rsid w:val="002E4B6D"/>
    <w:rsid w:val="002E4B80"/>
    <w:rsid w:val="002E616F"/>
    <w:rsid w:val="002E68CD"/>
    <w:rsid w:val="002F03CE"/>
    <w:rsid w:val="002F2762"/>
    <w:rsid w:val="002F3FAE"/>
    <w:rsid w:val="002F42ED"/>
    <w:rsid w:val="002F6BC2"/>
    <w:rsid w:val="002F7983"/>
    <w:rsid w:val="0030085B"/>
    <w:rsid w:val="003013DF"/>
    <w:rsid w:val="0030444C"/>
    <w:rsid w:val="00304865"/>
    <w:rsid w:val="003067E3"/>
    <w:rsid w:val="0030715B"/>
    <w:rsid w:val="00311F3D"/>
    <w:rsid w:val="00312121"/>
    <w:rsid w:val="0031270F"/>
    <w:rsid w:val="00312CFF"/>
    <w:rsid w:val="003140E8"/>
    <w:rsid w:val="00320D05"/>
    <w:rsid w:val="00322939"/>
    <w:rsid w:val="00322C8D"/>
    <w:rsid w:val="00323F7A"/>
    <w:rsid w:val="00324758"/>
    <w:rsid w:val="00327656"/>
    <w:rsid w:val="00327C6A"/>
    <w:rsid w:val="003305C3"/>
    <w:rsid w:val="003306AF"/>
    <w:rsid w:val="00332C78"/>
    <w:rsid w:val="00335026"/>
    <w:rsid w:val="003379B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B64"/>
    <w:rsid w:val="00384D96"/>
    <w:rsid w:val="00390692"/>
    <w:rsid w:val="0039083F"/>
    <w:rsid w:val="00390ADB"/>
    <w:rsid w:val="0039745E"/>
    <w:rsid w:val="00397E21"/>
    <w:rsid w:val="003A0C22"/>
    <w:rsid w:val="003A1673"/>
    <w:rsid w:val="003A26DF"/>
    <w:rsid w:val="003A43DD"/>
    <w:rsid w:val="003A54A6"/>
    <w:rsid w:val="003A6896"/>
    <w:rsid w:val="003B253C"/>
    <w:rsid w:val="003B2F31"/>
    <w:rsid w:val="003B5666"/>
    <w:rsid w:val="003B711A"/>
    <w:rsid w:val="003B7B01"/>
    <w:rsid w:val="003B7B6A"/>
    <w:rsid w:val="003C28EC"/>
    <w:rsid w:val="003C36A5"/>
    <w:rsid w:val="003C393C"/>
    <w:rsid w:val="003C50FB"/>
    <w:rsid w:val="003C527A"/>
    <w:rsid w:val="003C72EE"/>
    <w:rsid w:val="003D10F0"/>
    <w:rsid w:val="003D15A1"/>
    <w:rsid w:val="003D273D"/>
    <w:rsid w:val="003D3EEA"/>
    <w:rsid w:val="003D5FE8"/>
    <w:rsid w:val="003E2B02"/>
    <w:rsid w:val="003E2F45"/>
    <w:rsid w:val="003E3C3F"/>
    <w:rsid w:val="003E54AE"/>
    <w:rsid w:val="003E6309"/>
    <w:rsid w:val="003E70DE"/>
    <w:rsid w:val="003E7A09"/>
    <w:rsid w:val="003F039E"/>
    <w:rsid w:val="003F1E4A"/>
    <w:rsid w:val="003F20EB"/>
    <w:rsid w:val="003F2579"/>
    <w:rsid w:val="003F2D08"/>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20701"/>
    <w:rsid w:val="00420745"/>
    <w:rsid w:val="00425B94"/>
    <w:rsid w:val="00427DC8"/>
    <w:rsid w:val="004341E0"/>
    <w:rsid w:val="00435EFB"/>
    <w:rsid w:val="0043694D"/>
    <w:rsid w:val="004373A6"/>
    <w:rsid w:val="004375EF"/>
    <w:rsid w:val="004375FE"/>
    <w:rsid w:val="00437704"/>
    <w:rsid w:val="00437CF8"/>
    <w:rsid w:val="00440089"/>
    <w:rsid w:val="00443BBF"/>
    <w:rsid w:val="004447E1"/>
    <w:rsid w:val="00446040"/>
    <w:rsid w:val="004478E6"/>
    <w:rsid w:val="00447F5B"/>
    <w:rsid w:val="0045024E"/>
    <w:rsid w:val="00451830"/>
    <w:rsid w:val="004564D1"/>
    <w:rsid w:val="00456CBD"/>
    <w:rsid w:val="004576AA"/>
    <w:rsid w:val="00457C55"/>
    <w:rsid w:val="00460D7C"/>
    <w:rsid w:val="00461F41"/>
    <w:rsid w:val="004626F7"/>
    <w:rsid w:val="00462753"/>
    <w:rsid w:val="00463595"/>
    <w:rsid w:val="00464786"/>
    <w:rsid w:val="00466F23"/>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3972"/>
    <w:rsid w:val="004B3A80"/>
    <w:rsid w:val="004B446B"/>
    <w:rsid w:val="004B486D"/>
    <w:rsid w:val="004B49D2"/>
    <w:rsid w:val="004B4AC8"/>
    <w:rsid w:val="004B538E"/>
    <w:rsid w:val="004B6A8E"/>
    <w:rsid w:val="004C0872"/>
    <w:rsid w:val="004C091E"/>
    <w:rsid w:val="004C1326"/>
    <w:rsid w:val="004C1417"/>
    <w:rsid w:val="004C18ED"/>
    <w:rsid w:val="004C4BDC"/>
    <w:rsid w:val="004D197E"/>
    <w:rsid w:val="004D682A"/>
    <w:rsid w:val="004D7226"/>
    <w:rsid w:val="004E09B3"/>
    <w:rsid w:val="004E1052"/>
    <w:rsid w:val="004F3C24"/>
    <w:rsid w:val="004F595D"/>
    <w:rsid w:val="004F63D3"/>
    <w:rsid w:val="004F756F"/>
    <w:rsid w:val="004F7A28"/>
    <w:rsid w:val="005001A3"/>
    <w:rsid w:val="005036DA"/>
    <w:rsid w:val="00504796"/>
    <w:rsid w:val="005052C9"/>
    <w:rsid w:val="00506961"/>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D29"/>
    <w:rsid w:val="005B14FF"/>
    <w:rsid w:val="005B1CD7"/>
    <w:rsid w:val="005B2CC1"/>
    <w:rsid w:val="005B2DC1"/>
    <w:rsid w:val="005B4E49"/>
    <w:rsid w:val="005B57DF"/>
    <w:rsid w:val="005B5B9B"/>
    <w:rsid w:val="005C2BBB"/>
    <w:rsid w:val="005C2F5A"/>
    <w:rsid w:val="005C731D"/>
    <w:rsid w:val="005D0472"/>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64F5"/>
    <w:rsid w:val="006572DB"/>
    <w:rsid w:val="00657B8A"/>
    <w:rsid w:val="00660494"/>
    <w:rsid w:val="00662E16"/>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2A8C"/>
    <w:rsid w:val="00733EC0"/>
    <w:rsid w:val="00736CC6"/>
    <w:rsid w:val="00736D17"/>
    <w:rsid w:val="00741A88"/>
    <w:rsid w:val="00742E04"/>
    <w:rsid w:val="00743188"/>
    <w:rsid w:val="0074453A"/>
    <w:rsid w:val="00744E0C"/>
    <w:rsid w:val="00744F6F"/>
    <w:rsid w:val="007452AE"/>
    <w:rsid w:val="0074571D"/>
    <w:rsid w:val="00745B2C"/>
    <w:rsid w:val="007461D5"/>
    <w:rsid w:val="00747349"/>
    <w:rsid w:val="007504D1"/>
    <w:rsid w:val="007530C9"/>
    <w:rsid w:val="007534E6"/>
    <w:rsid w:val="00755030"/>
    <w:rsid w:val="00755678"/>
    <w:rsid w:val="0075613C"/>
    <w:rsid w:val="007605FF"/>
    <w:rsid w:val="0076094C"/>
    <w:rsid w:val="00761706"/>
    <w:rsid w:val="0076249D"/>
    <w:rsid w:val="007626D3"/>
    <w:rsid w:val="00763114"/>
    <w:rsid w:val="0076452B"/>
    <w:rsid w:val="007645B6"/>
    <w:rsid w:val="00766775"/>
    <w:rsid w:val="00766C6B"/>
    <w:rsid w:val="00767578"/>
    <w:rsid w:val="00770036"/>
    <w:rsid w:val="00773A3B"/>
    <w:rsid w:val="00774294"/>
    <w:rsid w:val="00775B33"/>
    <w:rsid w:val="00782642"/>
    <w:rsid w:val="007844BE"/>
    <w:rsid w:val="00784B66"/>
    <w:rsid w:val="00786E71"/>
    <w:rsid w:val="0079133B"/>
    <w:rsid w:val="00791885"/>
    <w:rsid w:val="00794512"/>
    <w:rsid w:val="00794A0D"/>
    <w:rsid w:val="00794DF0"/>
    <w:rsid w:val="007959AD"/>
    <w:rsid w:val="00796CD4"/>
    <w:rsid w:val="00797BAC"/>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87C65"/>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26AC"/>
    <w:rsid w:val="008F3364"/>
    <w:rsid w:val="00900D2C"/>
    <w:rsid w:val="009011E2"/>
    <w:rsid w:val="00901540"/>
    <w:rsid w:val="009030AC"/>
    <w:rsid w:val="00903483"/>
    <w:rsid w:val="00903F4E"/>
    <w:rsid w:val="009059FB"/>
    <w:rsid w:val="009064F8"/>
    <w:rsid w:val="009067C6"/>
    <w:rsid w:val="00912103"/>
    <w:rsid w:val="009144F7"/>
    <w:rsid w:val="00916CDA"/>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36E6"/>
    <w:rsid w:val="0096238F"/>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4DD"/>
    <w:rsid w:val="009E1032"/>
    <w:rsid w:val="009E30ED"/>
    <w:rsid w:val="009E3ACB"/>
    <w:rsid w:val="009E51CF"/>
    <w:rsid w:val="009F05D0"/>
    <w:rsid w:val="009F1ABF"/>
    <w:rsid w:val="009F5DC6"/>
    <w:rsid w:val="009F70C3"/>
    <w:rsid w:val="00A00C54"/>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B2E"/>
    <w:rsid w:val="00A43965"/>
    <w:rsid w:val="00A43A8F"/>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5BB9"/>
    <w:rsid w:val="00A7707E"/>
    <w:rsid w:val="00A8138F"/>
    <w:rsid w:val="00A84808"/>
    <w:rsid w:val="00A85E01"/>
    <w:rsid w:val="00A87787"/>
    <w:rsid w:val="00A90431"/>
    <w:rsid w:val="00A91028"/>
    <w:rsid w:val="00A91101"/>
    <w:rsid w:val="00A91276"/>
    <w:rsid w:val="00A91392"/>
    <w:rsid w:val="00A92C58"/>
    <w:rsid w:val="00A93868"/>
    <w:rsid w:val="00A95347"/>
    <w:rsid w:val="00A956EB"/>
    <w:rsid w:val="00AA0970"/>
    <w:rsid w:val="00AA0D55"/>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7E38"/>
    <w:rsid w:val="00AB7FE9"/>
    <w:rsid w:val="00AC0185"/>
    <w:rsid w:val="00AC0670"/>
    <w:rsid w:val="00AC097F"/>
    <w:rsid w:val="00AC0CAA"/>
    <w:rsid w:val="00AC232B"/>
    <w:rsid w:val="00AC4E5C"/>
    <w:rsid w:val="00AC4E64"/>
    <w:rsid w:val="00AC76CB"/>
    <w:rsid w:val="00AD007E"/>
    <w:rsid w:val="00AD4797"/>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D1A"/>
    <w:rsid w:val="00B42554"/>
    <w:rsid w:val="00B42CF6"/>
    <w:rsid w:val="00B4307D"/>
    <w:rsid w:val="00B43975"/>
    <w:rsid w:val="00B43F8D"/>
    <w:rsid w:val="00B44A44"/>
    <w:rsid w:val="00B44DBE"/>
    <w:rsid w:val="00B46126"/>
    <w:rsid w:val="00B50697"/>
    <w:rsid w:val="00B50FDA"/>
    <w:rsid w:val="00B512FE"/>
    <w:rsid w:val="00B53E85"/>
    <w:rsid w:val="00B54C9E"/>
    <w:rsid w:val="00B55E9B"/>
    <w:rsid w:val="00B560AA"/>
    <w:rsid w:val="00B61ED5"/>
    <w:rsid w:val="00B63086"/>
    <w:rsid w:val="00B63EFC"/>
    <w:rsid w:val="00B64170"/>
    <w:rsid w:val="00B67DC9"/>
    <w:rsid w:val="00B7385F"/>
    <w:rsid w:val="00B74018"/>
    <w:rsid w:val="00B74EDD"/>
    <w:rsid w:val="00B80578"/>
    <w:rsid w:val="00B82E1E"/>
    <w:rsid w:val="00B82F92"/>
    <w:rsid w:val="00B86834"/>
    <w:rsid w:val="00B86897"/>
    <w:rsid w:val="00B87B5C"/>
    <w:rsid w:val="00B91541"/>
    <w:rsid w:val="00B91CAC"/>
    <w:rsid w:val="00B943B4"/>
    <w:rsid w:val="00B978C6"/>
    <w:rsid w:val="00BA11F0"/>
    <w:rsid w:val="00BA13A3"/>
    <w:rsid w:val="00BA1C0F"/>
    <w:rsid w:val="00BA5B76"/>
    <w:rsid w:val="00BA64E5"/>
    <w:rsid w:val="00BA6C68"/>
    <w:rsid w:val="00BA6EF8"/>
    <w:rsid w:val="00BB2ED1"/>
    <w:rsid w:val="00BB368C"/>
    <w:rsid w:val="00BB39B5"/>
    <w:rsid w:val="00BB472D"/>
    <w:rsid w:val="00BB72A0"/>
    <w:rsid w:val="00BB74CD"/>
    <w:rsid w:val="00BB7968"/>
    <w:rsid w:val="00BB7985"/>
    <w:rsid w:val="00BC14C3"/>
    <w:rsid w:val="00BC3AEA"/>
    <w:rsid w:val="00BC4859"/>
    <w:rsid w:val="00BC5470"/>
    <w:rsid w:val="00BC6F10"/>
    <w:rsid w:val="00BC753F"/>
    <w:rsid w:val="00BC7E81"/>
    <w:rsid w:val="00BD19FE"/>
    <w:rsid w:val="00BD21BC"/>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482C"/>
    <w:rsid w:val="00C05479"/>
    <w:rsid w:val="00C07822"/>
    <w:rsid w:val="00C10807"/>
    <w:rsid w:val="00C108F7"/>
    <w:rsid w:val="00C11AC0"/>
    <w:rsid w:val="00C136DA"/>
    <w:rsid w:val="00C13925"/>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4055"/>
    <w:rsid w:val="00C46124"/>
    <w:rsid w:val="00C50D33"/>
    <w:rsid w:val="00C5158D"/>
    <w:rsid w:val="00C5161E"/>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3EE9"/>
    <w:rsid w:val="00C83F7B"/>
    <w:rsid w:val="00C91EE1"/>
    <w:rsid w:val="00C9290C"/>
    <w:rsid w:val="00C9346A"/>
    <w:rsid w:val="00C9396A"/>
    <w:rsid w:val="00C93F23"/>
    <w:rsid w:val="00C93F34"/>
    <w:rsid w:val="00C94045"/>
    <w:rsid w:val="00C94174"/>
    <w:rsid w:val="00C94C38"/>
    <w:rsid w:val="00C95FDD"/>
    <w:rsid w:val="00C975B5"/>
    <w:rsid w:val="00CA0081"/>
    <w:rsid w:val="00CA1366"/>
    <w:rsid w:val="00CA17BB"/>
    <w:rsid w:val="00CA1DF0"/>
    <w:rsid w:val="00CA388A"/>
    <w:rsid w:val="00CA53DD"/>
    <w:rsid w:val="00CB7364"/>
    <w:rsid w:val="00CB7C76"/>
    <w:rsid w:val="00CC1987"/>
    <w:rsid w:val="00CC1CC7"/>
    <w:rsid w:val="00CC5FEC"/>
    <w:rsid w:val="00CC6095"/>
    <w:rsid w:val="00CD0AE0"/>
    <w:rsid w:val="00CD0C86"/>
    <w:rsid w:val="00CD10D7"/>
    <w:rsid w:val="00CD2FDC"/>
    <w:rsid w:val="00CD4CC6"/>
    <w:rsid w:val="00CE032A"/>
    <w:rsid w:val="00CE0A1D"/>
    <w:rsid w:val="00CF160E"/>
    <w:rsid w:val="00CF35FE"/>
    <w:rsid w:val="00CF4334"/>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ECB"/>
    <w:rsid w:val="00D21A0F"/>
    <w:rsid w:val="00D22540"/>
    <w:rsid w:val="00D22A9C"/>
    <w:rsid w:val="00D23CE2"/>
    <w:rsid w:val="00D2510C"/>
    <w:rsid w:val="00D306B4"/>
    <w:rsid w:val="00D315D9"/>
    <w:rsid w:val="00D31CCC"/>
    <w:rsid w:val="00D32353"/>
    <w:rsid w:val="00D37234"/>
    <w:rsid w:val="00D37A98"/>
    <w:rsid w:val="00D404AF"/>
    <w:rsid w:val="00D4288A"/>
    <w:rsid w:val="00D43574"/>
    <w:rsid w:val="00D4600C"/>
    <w:rsid w:val="00D47ECA"/>
    <w:rsid w:val="00D5314D"/>
    <w:rsid w:val="00D54324"/>
    <w:rsid w:val="00D5441B"/>
    <w:rsid w:val="00D548D6"/>
    <w:rsid w:val="00D55E41"/>
    <w:rsid w:val="00D56098"/>
    <w:rsid w:val="00D5682F"/>
    <w:rsid w:val="00D56C94"/>
    <w:rsid w:val="00D60D8D"/>
    <w:rsid w:val="00D64055"/>
    <w:rsid w:val="00D651BE"/>
    <w:rsid w:val="00D66FC4"/>
    <w:rsid w:val="00D67B6E"/>
    <w:rsid w:val="00D7019E"/>
    <w:rsid w:val="00D71871"/>
    <w:rsid w:val="00D71D98"/>
    <w:rsid w:val="00D7594C"/>
    <w:rsid w:val="00D80458"/>
    <w:rsid w:val="00D81065"/>
    <w:rsid w:val="00D82507"/>
    <w:rsid w:val="00D8634A"/>
    <w:rsid w:val="00D9057B"/>
    <w:rsid w:val="00D90EF4"/>
    <w:rsid w:val="00D91B4C"/>
    <w:rsid w:val="00D9457D"/>
    <w:rsid w:val="00D954BD"/>
    <w:rsid w:val="00D95AE0"/>
    <w:rsid w:val="00D96D5A"/>
    <w:rsid w:val="00D96F37"/>
    <w:rsid w:val="00D97974"/>
    <w:rsid w:val="00DA1A02"/>
    <w:rsid w:val="00DA2742"/>
    <w:rsid w:val="00DA3754"/>
    <w:rsid w:val="00DA3CD3"/>
    <w:rsid w:val="00DA450C"/>
    <w:rsid w:val="00DA4725"/>
    <w:rsid w:val="00DA4E12"/>
    <w:rsid w:val="00DA626A"/>
    <w:rsid w:val="00DB2338"/>
    <w:rsid w:val="00DB2E50"/>
    <w:rsid w:val="00DB364B"/>
    <w:rsid w:val="00DB4EF0"/>
    <w:rsid w:val="00DB59C7"/>
    <w:rsid w:val="00DB5F8E"/>
    <w:rsid w:val="00DB62F7"/>
    <w:rsid w:val="00DC2857"/>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26EF"/>
    <w:rsid w:val="00DF52E2"/>
    <w:rsid w:val="00E01159"/>
    <w:rsid w:val="00E01972"/>
    <w:rsid w:val="00E042B7"/>
    <w:rsid w:val="00E05F99"/>
    <w:rsid w:val="00E06073"/>
    <w:rsid w:val="00E06676"/>
    <w:rsid w:val="00E07950"/>
    <w:rsid w:val="00E12897"/>
    <w:rsid w:val="00E132EC"/>
    <w:rsid w:val="00E15E14"/>
    <w:rsid w:val="00E17AD2"/>
    <w:rsid w:val="00E20EBB"/>
    <w:rsid w:val="00E21B75"/>
    <w:rsid w:val="00E21EED"/>
    <w:rsid w:val="00E2289B"/>
    <w:rsid w:val="00E23010"/>
    <w:rsid w:val="00E237E1"/>
    <w:rsid w:val="00E26004"/>
    <w:rsid w:val="00E270E5"/>
    <w:rsid w:val="00E271F0"/>
    <w:rsid w:val="00E304F1"/>
    <w:rsid w:val="00E328CC"/>
    <w:rsid w:val="00E37920"/>
    <w:rsid w:val="00E37B8C"/>
    <w:rsid w:val="00E40203"/>
    <w:rsid w:val="00E41969"/>
    <w:rsid w:val="00E41FF8"/>
    <w:rsid w:val="00E446A7"/>
    <w:rsid w:val="00E44741"/>
    <w:rsid w:val="00E44CE3"/>
    <w:rsid w:val="00E46D95"/>
    <w:rsid w:val="00E47250"/>
    <w:rsid w:val="00E56220"/>
    <w:rsid w:val="00E612CB"/>
    <w:rsid w:val="00E632C3"/>
    <w:rsid w:val="00E637E8"/>
    <w:rsid w:val="00E64566"/>
    <w:rsid w:val="00E64A66"/>
    <w:rsid w:val="00E6629F"/>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3E43"/>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D01B6"/>
    <w:rsid w:val="00ED1710"/>
    <w:rsid w:val="00ED49B8"/>
    <w:rsid w:val="00ED4E41"/>
    <w:rsid w:val="00EE0DBB"/>
    <w:rsid w:val="00EE4363"/>
    <w:rsid w:val="00EE6CC6"/>
    <w:rsid w:val="00EF3895"/>
    <w:rsid w:val="00EF6BD5"/>
    <w:rsid w:val="00EF7093"/>
    <w:rsid w:val="00F00A2C"/>
    <w:rsid w:val="00F01B8A"/>
    <w:rsid w:val="00F02DFA"/>
    <w:rsid w:val="00F02F03"/>
    <w:rsid w:val="00F0407F"/>
    <w:rsid w:val="00F040B2"/>
    <w:rsid w:val="00F061DF"/>
    <w:rsid w:val="00F06823"/>
    <w:rsid w:val="00F12428"/>
    <w:rsid w:val="00F12A50"/>
    <w:rsid w:val="00F177B8"/>
    <w:rsid w:val="00F2103C"/>
    <w:rsid w:val="00F228D1"/>
    <w:rsid w:val="00F22B3F"/>
    <w:rsid w:val="00F24616"/>
    <w:rsid w:val="00F27E2A"/>
    <w:rsid w:val="00F3243B"/>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71E57"/>
    <w:rsid w:val="00F725E2"/>
    <w:rsid w:val="00F740D9"/>
    <w:rsid w:val="00F77BEA"/>
    <w:rsid w:val="00F82162"/>
    <w:rsid w:val="00F8475E"/>
    <w:rsid w:val="00F865AF"/>
    <w:rsid w:val="00F86BCD"/>
    <w:rsid w:val="00F914DE"/>
    <w:rsid w:val="00F91751"/>
    <w:rsid w:val="00F91F20"/>
    <w:rsid w:val="00F92BA0"/>
    <w:rsid w:val="00F949FD"/>
    <w:rsid w:val="00F94A58"/>
    <w:rsid w:val="00F958BD"/>
    <w:rsid w:val="00F95EA2"/>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IvDbodytext">
    <w:name w:val="IvD bodytext"/>
    <w:basedOn w:val="BodyText"/>
    <w:link w:val="IvDbodytextChar"/>
    <w:qFormat/>
    <w:rsid w:val="00A75BB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75BB9"/>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 w:type="paragraph" w:customStyle="1" w:styleId="IvDbodytext">
    <w:name w:val="IvD bodytext"/>
    <w:basedOn w:val="BodyText"/>
    <w:link w:val="IvDbodytextChar"/>
    <w:qFormat/>
    <w:rsid w:val="00A75BB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A75BB9"/>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D4A3D-6524-48C5-8079-F31394D4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Vidit Saxena</cp:lastModifiedBy>
  <cp:revision>52</cp:revision>
  <cp:lastPrinted>2016-01-11T17:38:00Z</cp:lastPrinted>
  <dcterms:created xsi:type="dcterms:W3CDTF">2016-01-29T17:45:00Z</dcterms:created>
  <dcterms:modified xsi:type="dcterms:W3CDTF">2016-02-05T12:38:00Z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